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ECAE" w14:textId="77777777" w:rsidR="001655BF" w:rsidRDefault="001655BF" w:rsidP="00502113">
      <w:pPr>
        <w:jc w:val="center"/>
        <w:rPr>
          <w:sz w:val="28"/>
          <w:szCs w:val="28"/>
        </w:rPr>
      </w:pPr>
      <w:bookmarkStart w:id="0" w:name="_GoBack"/>
      <w:bookmarkEnd w:id="0"/>
    </w:p>
    <w:p w14:paraId="23B9A5F7" w14:textId="77777777" w:rsidR="001655BF" w:rsidRDefault="001655BF" w:rsidP="00502113">
      <w:pPr>
        <w:jc w:val="center"/>
        <w:rPr>
          <w:sz w:val="28"/>
          <w:szCs w:val="28"/>
        </w:rPr>
      </w:pPr>
    </w:p>
    <w:p w14:paraId="146EA497" w14:textId="77777777" w:rsidR="001655BF" w:rsidRDefault="001655BF" w:rsidP="00502113">
      <w:pPr>
        <w:jc w:val="center"/>
        <w:rPr>
          <w:sz w:val="28"/>
          <w:szCs w:val="28"/>
        </w:rPr>
      </w:pPr>
    </w:p>
    <w:p w14:paraId="4F844692" w14:textId="77777777" w:rsidR="001655BF" w:rsidRDefault="001655BF" w:rsidP="00502113">
      <w:pPr>
        <w:jc w:val="center"/>
        <w:rPr>
          <w:sz w:val="28"/>
          <w:szCs w:val="28"/>
        </w:rPr>
      </w:pPr>
    </w:p>
    <w:p w14:paraId="056102C7" w14:textId="20942E20" w:rsidR="00502113" w:rsidRDefault="00502113" w:rsidP="00502113">
      <w:pPr>
        <w:jc w:val="center"/>
        <w:rPr>
          <w:rFonts w:ascii="Calibri" w:hAnsi="Calibri"/>
          <w:sz w:val="28"/>
          <w:szCs w:val="28"/>
        </w:rPr>
      </w:pPr>
      <w:r>
        <w:rPr>
          <w:sz w:val="28"/>
          <w:szCs w:val="28"/>
        </w:rPr>
        <w:t xml:space="preserve">Outcome and Input Data for 26 Post-WWII and </w:t>
      </w:r>
      <w:proofErr w:type="spellStart"/>
      <w:r>
        <w:rPr>
          <w:sz w:val="28"/>
          <w:szCs w:val="28"/>
        </w:rPr>
        <w:t>Post Cold</w:t>
      </w:r>
      <w:proofErr w:type="spellEnd"/>
      <w:r>
        <w:rPr>
          <w:sz w:val="28"/>
          <w:szCs w:val="28"/>
        </w:rPr>
        <w:t xml:space="preserve"> War Interventions</w:t>
      </w:r>
    </w:p>
    <w:p w14:paraId="75B4362D" w14:textId="77777777" w:rsidR="00502113" w:rsidRDefault="00502113" w:rsidP="00502113">
      <w:pPr>
        <w:rPr>
          <w:sz w:val="22"/>
          <w:szCs w:val="22"/>
        </w:rPr>
      </w:pPr>
    </w:p>
    <w:p w14:paraId="1D8F4ACB" w14:textId="262C3DDA" w:rsidR="00502113" w:rsidRPr="00502113" w:rsidRDefault="00502113" w:rsidP="00502113">
      <w:pPr>
        <w:jc w:val="center"/>
        <w:rPr>
          <w:sz w:val="22"/>
          <w:szCs w:val="22"/>
        </w:rPr>
      </w:pPr>
      <w:r w:rsidRPr="00502113">
        <w:rPr>
          <w:sz w:val="22"/>
          <w:szCs w:val="22"/>
        </w:rPr>
        <w:t xml:space="preserve">Excerpted from the fourth </w:t>
      </w:r>
      <w:r w:rsidR="0074478D" w:rsidRPr="00502113">
        <w:rPr>
          <w:sz w:val="22"/>
          <w:szCs w:val="22"/>
        </w:rPr>
        <w:t>volume of</w:t>
      </w:r>
      <w:r w:rsidRPr="00502113">
        <w:rPr>
          <w:sz w:val="22"/>
          <w:szCs w:val="22"/>
        </w:rPr>
        <w:t xml:space="preserve"> the RAND History of Nation Building</w:t>
      </w:r>
    </w:p>
    <w:p w14:paraId="267CBCA8" w14:textId="77777777" w:rsidR="001655BF" w:rsidRDefault="001655BF" w:rsidP="001655BF">
      <w:pPr>
        <w:spacing w:after="0"/>
      </w:pPr>
      <w:r>
        <w:br w:type="page"/>
      </w:r>
    </w:p>
    <w:p w14:paraId="227489EE" w14:textId="6A7DA06F" w:rsidR="008551CC" w:rsidRDefault="008551CC" w:rsidP="008551CC">
      <w:pPr>
        <w:pStyle w:val="Heading9"/>
      </w:pPr>
      <w:bookmarkStart w:id="1" w:name="_Toc517797003"/>
      <w:bookmarkStart w:id="2" w:name="_Toc519899852"/>
      <w:bookmarkStart w:id="3" w:name="_Toc3107559"/>
      <w:bookmarkStart w:id="4" w:name="_Toc519899696"/>
      <w:bookmarkStart w:id="5" w:name="_Toc3300997"/>
      <w:r>
        <w:lastRenderedPageBreak/>
        <w:t>Sustained Peace (2017)</w:t>
      </w:r>
      <w:bookmarkEnd w:id="1"/>
      <w:bookmarkEnd w:id="2"/>
      <w:bookmarkEnd w:id="3"/>
    </w:p>
    <w:tbl>
      <w:tblPr>
        <w:tblW w:w="6460" w:type="dxa"/>
        <w:tblInd w:w="1530" w:type="dxa"/>
        <w:tblLook w:val="04A0" w:firstRow="1" w:lastRow="0" w:firstColumn="1" w:lastColumn="0" w:noHBand="0" w:noVBand="1"/>
      </w:tblPr>
      <w:tblGrid>
        <w:gridCol w:w="1720"/>
        <w:gridCol w:w="2380"/>
        <w:gridCol w:w="2360"/>
      </w:tblGrid>
      <w:tr w:rsidR="008551CC" w14:paraId="7FB076EA" w14:textId="77777777" w:rsidTr="00384BA8">
        <w:trPr>
          <w:trHeight w:val="648"/>
        </w:trPr>
        <w:tc>
          <w:tcPr>
            <w:tcW w:w="1720" w:type="dxa"/>
            <w:tcBorders>
              <w:top w:val="single" w:sz="18" w:space="0" w:color="auto"/>
              <w:left w:val="nil"/>
              <w:bottom w:val="single" w:sz="18" w:space="0" w:color="auto"/>
              <w:right w:val="nil"/>
            </w:tcBorders>
            <w:shd w:val="clear" w:color="auto" w:fill="auto"/>
            <w:noWrap/>
            <w:vAlign w:val="center"/>
            <w:hideMark/>
          </w:tcPr>
          <w:p w14:paraId="6BDC410E" w14:textId="77777777" w:rsidR="008551CC" w:rsidRPr="004F6665" w:rsidRDefault="008551CC" w:rsidP="00384BA8">
            <w:pPr>
              <w:pStyle w:val="TableBody"/>
              <w:jc w:val="center"/>
              <w:rPr>
                <w:b/>
                <w:sz w:val="24"/>
                <w:szCs w:val="24"/>
              </w:rPr>
            </w:pPr>
            <w:r>
              <w:rPr>
                <w:b/>
                <w:szCs w:val="18"/>
              </w:rPr>
              <w:t>Operation</w:t>
            </w:r>
          </w:p>
        </w:tc>
        <w:tc>
          <w:tcPr>
            <w:tcW w:w="2380" w:type="dxa"/>
            <w:tcBorders>
              <w:top w:val="single" w:sz="18" w:space="0" w:color="auto"/>
              <w:left w:val="nil"/>
              <w:bottom w:val="single" w:sz="18" w:space="0" w:color="auto"/>
              <w:right w:val="nil"/>
            </w:tcBorders>
            <w:shd w:val="clear" w:color="auto" w:fill="auto"/>
            <w:noWrap/>
            <w:vAlign w:val="center"/>
            <w:hideMark/>
          </w:tcPr>
          <w:p w14:paraId="7BB8AEDE" w14:textId="77777777" w:rsidR="008551CC" w:rsidRPr="004F6665" w:rsidRDefault="008551CC" w:rsidP="00384BA8">
            <w:pPr>
              <w:pStyle w:val="TableBody"/>
              <w:jc w:val="center"/>
              <w:rPr>
                <w:b/>
              </w:rPr>
            </w:pPr>
            <w:r w:rsidRPr="004F6665">
              <w:rPr>
                <w:b/>
              </w:rPr>
              <w:t>Country</w:t>
            </w:r>
          </w:p>
        </w:tc>
        <w:tc>
          <w:tcPr>
            <w:tcW w:w="2360" w:type="dxa"/>
            <w:tcBorders>
              <w:top w:val="single" w:sz="18" w:space="0" w:color="auto"/>
              <w:left w:val="nil"/>
              <w:bottom w:val="single" w:sz="18" w:space="0" w:color="auto"/>
              <w:right w:val="nil"/>
            </w:tcBorders>
            <w:shd w:val="clear" w:color="auto" w:fill="auto"/>
            <w:noWrap/>
            <w:vAlign w:val="center"/>
            <w:hideMark/>
          </w:tcPr>
          <w:p w14:paraId="7719735B" w14:textId="77777777" w:rsidR="008551CC" w:rsidRDefault="008551CC" w:rsidP="00384BA8">
            <w:pPr>
              <w:pStyle w:val="TableBody"/>
              <w:jc w:val="center"/>
              <w:rPr>
                <w:b/>
              </w:rPr>
            </w:pPr>
            <w:r>
              <w:rPr>
                <w:b/>
              </w:rPr>
              <w:t>Sustained Peace</w:t>
            </w:r>
          </w:p>
          <w:p w14:paraId="266B5BE0" w14:textId="77777777" w:rsidR="008551CC" w:rsidRPr="004F6665" w:rsidRDefault="008551CC" w:rsidP="00384BA8">
            <w:pPr>
              <w:pStyle w:val="TableBody"/>
              <w:jc w:val="center"/>
              <w:rPr>
                <w:b/>
              </w:rPr>
            </w:pPr>
            <w:r>
              <w:rPr>
                <w:b/>
              </w:rPr>
              <w:t>(2017)</w:t>
            </w:r>
          </w:p>
        </w:tc>
      </w:tr>
      <w:tr w:rsidR="008551CC" w14:paraId="23DC0626" w14:textId="77777777" w:rsidTr="00384BA8">
        <w:trPr>
          <w:trHeight w:val="320"/>
        </w:trPr>
        <w:tc>
          <w:tcPr>
            <w:tcW w:w="1720" w:type="dxa"/>
            <w:tcBorders>
              <w:top w:val="single" w:sz="18" w:space="0" w:color="auto"/>
              <w:left w:val="nil"/>
              <w:bottom w:val="nil"/>
              <w:right w:val="nil"/>
            </w:tcBorders>
            <w:shd w:val="clear" w:color="auto" w:fill="auto"/>
            <w:noWrap/>
            <w:vAlign w:val="center"/>
            <w:hideMark/>
          </w:tcPr>
          <w:p w14:paraId="2FCEE758" w14:textId="77777777" w:rsidR="008551CC" w:rsidRPr="00694A2B" w:rsidRDefault="008551CC" w:rsidP="00384BA8">
            <w:pPr>
              <w:pStyle w:val="TableBody"/>
              <w:jc w:val="center"/>
              <w:rPr>
                <w:b/>
              </w:rPr>
            </w:pPr>
            <w:r w:rsidRPr="006A1061">
              <w:t>U.S.</w:t>
            </w:r>
          </w:p>
        </w:tc>
        <w:tc>
          <w:tcPr>
            <w:tcW w:w="2380" w:type="dxa"/>
            <w:tcBorders>
              <w:top w:val="single" w:sz="18" w:space="0" w:color="auto"/>
              <w:left w:val="nil"/>
              <w:bottom w:val="nil"/>
              <w:right w:val="nil"/>
            </w:tcBorders>
            <w:shd w:val="clear" w:color="auto" w:fill="auto"/>
            <w:noWrap/>
            <w:vAlign w:val="center"/>
            <w:hideMark/>
          </w:tcPr>
          <w:p w14:paraId="2F8DEA05" w14:textId="77777777" w:rsidR="008551CC" w:rsidRDefault="008551CC" w:rsidP="00384BA8">
            <w:pPr>
              <w:pStyle w:val="TableBody"/>
              <w:jc w:val="center"/>
            </w:pPr>
            <w:r>
              <w:t>Germany</w:t>
            </w:r>
          </w:p>
        </w:tc>
        <w:tc>
          <w:tcPr>
            <w:tcW w:w="2360" w:type="dxa"/>
            <w:tcBorders>
              <w:top w:val="single" w:sz="18" w:space="0" w:color="auto"/>
              <w:left w:val="nil"/>
              <w:bottom w:val="nil"/>
              <w:right w:val="nil"/>
            </w:tcBorders>
            <w:shd w:val="clear" w:color="auto" w:fill="auto"/>
            <w:noWrap/>
            <w:vAlign w:val="center"/>
            <w:hideMark/>
          </w:tcPr>
          <w:p w14:paraId="72578D7E" w14:textId="77777777" w:rsidR="008551CC" w:rsidRDefault="008551CC" w:rsidP="00384BA8">
            <w:pPr>
              <w:pStyle w:val="TableBody"/>
              <w:jc w:val="center"/>
            </w:pPr>
            <w:r w:rsidRPr="007B374E">
              <w:t>Yes</w:t>
            </w:r>
          </w:p>
        </w:tc>
      </w:tr>
      <w:tr w:rsidR="008551CC" w14:paraId="12C35A6D" w14:textId="77777777" w:rsidTr="00384BA8">
        <w:trPr>
          <w:trHeight w:val="320"/>
        </w:trPr>
        <w:tc>
          <w:tcPr>
            <w:tcW w:w="1720" w:type="dxa"/>
            <w:tcBorders>
              <w:top w:val="nil"/>
              <w:left w:val="nil"/>
              <w:bottom w:val="nil"/>
              <w:right w:val="nil"/>
            </w:tcBorders>
            <w:shd w:val="clear" w:color="auto" w:fill="auto"/>
            <w:noWrap/>
            <w:vAlign w:val="center"/>
            <w:hideMark/>
          </w:tcPr>
          <w:p w14:paraId="4AE49E85" w14:textId="77777777" w:rsidR="008551CC" w:rsidRPr="00694A2B" w:rsidRDefault="008551CC" w:rsidP="00384BA8">
            <w:pPr>
              <w:pStyle w:val="TableBody"/>
              <w:jc w:val="center"/>
              <w:rPr>
                <w:b/>
              </w:rPr>
            </w:pPr>
            <w:r w:rsidRPr="00211891">
              <w:t>U.S.</w:t>
            </w:r>
          </w:p>
        </w:tc>
        <w:tc>
          <w:tcPr>
            <w:tcW w:w="2380" w:type="dxa"/>
            <w:tcBorders>
              <w:top w:val="nil"/>
              <w:left w:val="nil"/>
              <w:bottom w:val="nil"/>
              <w:right w:val="nil"/>
            </w:tcBorders>
            <w:shd w:val="clear" w:color="auto" w:fill="auto"/>
            <w:noWrap/>
            <w:vAlign w:val="center"/>
            <w:hideMark/>
          </w:tcPr>
          <w:p w14:paraId="3FA22F6E" w14:textId="77777777" w:rsidR="008551CC" w:rsidRDefault="008551CC" w:rsidP="00384BA8">
            <w:pPr>
              <w:pStyle w:val="TableBody"/>
              <w:jc w:val="center"/>
              <w:rPr>
                <w:sz w:val="24"/>
                <w:szCs w:val="24"/>
              </w:rPr>
            </w:pPr>
            <w:r>
              <w:t>Japan</w:t>
            </w:r>
          </w:p>
        </w:tc>
        <w:tc>
          <w:tcPr>
            <w:tcW w:w="2360" w:type="dxa"/>
            <w:tcBorders>
              <w:top w:val="nil"/>
              <w:left w:val="nil"/>
              <w:bottom w:val="nil"/>
              <w:right w:val="nil"/>
            </w:tcBorders>
            <w:shd w:val="clear" w:color="auto" w:fill="auto"/>
            <w:noWrap/>
            <w:vAlign w:val="center"/>
            <w:hideMark/>
          </w:tcPr>
          <w:p w14:paraId="4C026401" w14:textId="77777777" w:rsidR="008551CC" w:rsidRDefault="008551CC" w:rsidP="00384BA8">
            <w:pPr>
              <w:pStyle w:val="TableBody"/>
              <w:jc w:val="center"/>
            </w:pPr>
            <w:r w:rsidRPr="007B374E">
              <w:t>Yes</w:t>
            </w:r>
          </w:p>
        </w:tc>
      </w:tr>
      <w:tr w:rsidR="008551CC" w14:paraId="2F52CCC7" w14:textId="77777777" w:rsidTr="00384BA8">
        <w:trPr>
          <w:trHeight w:val="320"/>
        </w:trPr>
        <w:tc>
          <w:tcPr>
            <w:tcW w:w="1720" w:type="dxa"/>
            <w:tcBorders>
              <w:top w:val="nil"/>
              <w:left w:val="nil"/>
              <w:bottom w:val="nil"/>
              <w:right w:val="nil"/>
            </w:tcBorders>
            <w:shd w:val="clear" w:color="auto" w:fill="auto"/>
            <w:noWrap/>
            <w:vAlign w:val="center"/>
            <w:hideMark/>
          </w:tcPr>
          <w:p w14:paraId="6B70B5D3" w14:textId="77777777" w:rsidR="008551CC" w:rsidRPr="00694A2B" w:rsidRDefault="008551CC" w:rsidP="00384BA8">
            <w:pPr>
              <w:pStyle w:val="TableBody"/>
              <w:jc w:val="center"/>
              <w:rPr>
                <w:b/>
              </w:rPr>
            </w:pPr>
            <w:r w:rsidRPr="00211891">
              <w:t>U.S.</w:t>
            </w:r>
          </w:p>
        </w:tc>
        <w:tc>
          <w:tcPr>
            <w:tcW w:w="2380" w:type="dxa"/>
            <w:tcBorders>
              <w:top w:val="nil"/>
              <w:left w:val="nil"/>
              <w:bottom w:val="nil"/>
              <w:right w:val="nil"/>
            </w:tcBorders>
            <w:shd w:val="clear" w:color="auto" w:fill="auto"/>
            <w:noWrap/>
            <w:vAlign w:val="center"/>
            <w:hideMark/>
          </w:tcPr>
          <w:p w14:paraId="5DFC62A0" w14:textId="77777777" w:rsidR="008551CC" w:rsidRDefault="008551CC" w:rsidP="00384BA8">
            <w:pPr>
              <w:pStyle w:val="TableBody"/>
              <w:jc w:val="center"/>
              <w:rPr>
                <w:sz w:val="24"/>
                <w:szCs w:val="24"/>
              </w:rPr>
            </w:pPr>
            <w:r>
              <w:t>Somalia (I)</w:t>
            </w:r>
          </w:p>
        </w:tc>
        <w:tc>
          <w:tcPr>
            <w:tcW w:w="2360" w:type="dxa"/>
            <w:tcBorders>
              <w:top w:val="nil"/>
              <w:left w:val="nil"/>
              <w:bottom w:val="nil"/>
              <w:right w:val="nil"/>
            </w:tcBorders>
            <w:shd w:val="clear" w:color="auto" w:fill="auto"/>
            <w:noWrap/>
            <w:vAlign w:val="center"/>
            <w:hideMark/>
          </w:tcPr>
          <w:p w14:paraId="36608172" w14:textId="77777777" w:rsidR="008551CC" w:rsidRDefault="008551CC" w:rsidP="00384BA8">
            <w:pPr>
              <w:pStyle w:val="TableBody"/>
              <w:jc w:val="center"/>
            </w:pPr>
            <w:r w:rsidRPr="007B374E">
              <w:t>No</w:t>
            </w:r>
          </w:p>
        </w:tc>
      </w:tr>
      <w:tr w:rsidR="008551CC" w14:paraId="02211A5A" w14:textId="77777777" w:rsidTr="00384BA8">
        <w:trPr>
          <w:trHeight w:val="320"/>
        </w:trPr>
        <w:tc>
          <w:tcPr>
            <w:tcW w:w="1720" w:type="dxa"/>
            <w:tcBorders>
              <w:top w:val="nil"/>
              <w:left w:val="nil"/>
              <w:bottom w:val="nil"/>
              <w:right w:val="nil"/>
            </w:tcBorders>
            <w:shd w:val="clear" w:color="auto" w:fill="auto"/>
            <w:noWrap/>
            <w:vAlign w:val="center"/>
            <w:hideMark/>
          </w:tcPr>
          <w:p w14:paraId="1686CA62" w14:textId="77777777" w:rsidR="008551CC" w:rsidRPr="00694A2B" w:rsidRDefault="008551CC" w:rsidP="00384BA8">
            <w:pPr>
              <w:pStyle w:val="TableBody"/>
              <w:jc w:val="center"/>
              <w:rPr>
                <w:b/>
              </w:rPr>
            </w:pPr>
            <w:r w:rsidRPr="00211891">
              <w:t>U.S.</w:t>
            </w:r>
          </w:p>
        </w:tc>
        <w:tc>
          <w:tcPr>
            <w:tcW w:w="2380" w:type="dxa"/>
            <w:tcBorders>
              <w:top w:val="nil"/>
              <w:left w:val="nil"/>
              <w:bottom w:val="nil"/>
              <w:right w:val="nil"/>
            </w:tcBorders>
            <w:shd w:val="clear" w:color="auto" w:fill="auto"/>
            <w:noWrap/>
            <w:vAlign w:val="center"/>
            <w:hideMark/>
          </w:tcPr>
          <w:p w14:paraId="4C0ECE25" w14:textId="77777777" w:rsidR="008551CC" w:rsidRDefault="008551CC" w:rsidP="00384BA8">
            <w:pPr>
              <w:pStyle w:val="TableBody"/>
              <w:jc w:val="center"/>
              <w:rPr>
                <w:sz w:val="24"/>
                <w:szCs w:val="24"/>
              </w:rPr>
            </w:pPr>
            <w:r>
              <w:t>Haiti</w:t>
            </w:r>
          </w:p>
        </w:tc>
        <w:tc>
          <w:tcPr>
            <w:tcW w:w="2360" w:type="dxa"/>
            <w:tcBorders>
              <w:top w:val="nil"/>
              <w:left w:val="nil"/>
              <w:bottom w:val="nil"/>
              <w:right w:val="nil"/>
            </w:tcBorders>
            <w:shd w:val="clear" w:color="auto" w:fill="auto"/>
            <w:noWrap/>
            <w:vAlign w:val="center"/>
            <w:hideMark/>
          </w:tcPr>
          <w:p w14:paraId="6F073249" w14:textId="77777777" w:rsidR="008551CC" w:rsidRDefault="008551CC" w:rsidP="00384BA8">
            <w:pPr>
              <w:pStyle w:val="TableBody"/>
              <w:jc w:val="center"/>
            </w:pPr>
            <w:r w:rsidRPr="007B374E">
              <w:t>Yes</w:t>
            </w:r>
          </w:p>
        </w:tc>
      </w:tr>
      <w:tr w:rsidR="008551CC" w14:paraId="23A27298" w14:textId="77777777" w:rsidTr="00384BA8">
        <w:trPr>
          <w:trHeight w:val="320"/>
        </w:trPr>
        <w:tc>
          <w:tcPr>
            <w:tcW w:w="1720" w:type="dxa"/>
            <w:tcBorders>
              <w:top w:val="nil"/>
              <w:left w:val="nil"/>
              <w:bottom w:val="nil"/>
              <w:right w:val="nil"/>
            </w:tcBorders>
            <w:shd w:val="clear" w:color="auto" w:fill="auto"/>
            <w:noWrap/>
            <w:vAlign w:val="center"/>
            <w:hideMark/>
          </w:tcPr>
          <w:p w14:paraId="4AFC9DAD" w14:textId="77777777" w:rsidR="008551CC" w:rsidRPr="00694A2B" w:rsidRDefault="008551CC" w:rsidP="00384BA8">
            <w:pPr>
              <w:pStyle w:val="TableBody"/>
              <w:jc w:val="center"/>
              <w:rPr>
                <w:b/>
              </w:rPr>
            </w:pPr>
            <w:r w:rsidRPr="00211891">
              <w:t>U.S.</w:t>
            </w:r>
            <w:r>
              <w:t>/NATO</w:t>
            </w:r>
          </w:p>
        </w:tc>
        <w:tc>
          <w:tcPr>
            <w:tcW w:w="2380" w:type="dxa"/>
            <w:tcBorders>
              <w:top w:val="nil"/>
              <w:left w:val="nil"/>
              <w:bottom w:val="nil"/>
              <w:right w:val="nil"/>
            </w:tcBorders>
            <w:shd w:val="clear" w:color="auto" w:fill="auto"/>
            <w:noWrap/>
            <w:vAlign w:val="center"/>
            <w:hideMark/>
          </w:tcPr>
          <w:p w14:paraId="5839CB6B" w14:textId="77777777" w:rsidR="008551CC" w:rsidRDefault="008551CC" w:rsidP="00384BA8">
            <w:pPr>
              <w:pStyle w:val="TableBody"/>
              <w:jc w:val="center"/>
              <w:rPr>
                <w:sz w:val="24"/>
                <w:szCs w:val="24"/>
              </w:rPr>
            </w:pPr>
            <w:r>
              <w:t>Bosnia (I)</w:t>
            </w:r>
          </w:p>
        </w:tc>
        <w:tc>
          <w:tcPr>
            <w:tcW w:w="2360" w:type="dxa"/>
            <w:tcBorders>
              <w:top w:val="nil"/>
              <w:left w:val="nil"/>
              <w:bottom w:val="nil"/>
              <w:right w:val="nil"/>
            </w:tcBorders>
            <w:shd w:val="clear" w:color="auto" w:fill="auto"/>
            <w:noWrap/>
            <w:vAlign w:val="center"/>
            <w:hideMark/>
          </w:tcPr>
          <w:p w14:paraId="3C3DA2FC" w14:textId="77777777" w:rsidR="008551CC" w:rsidRDefault="008551CC" w:rsidP="00384BA8">
            <w:pPr>
              <w:pStyle w:val="TableBody"/>
              <w:jc w:val="center"/>
            </w:pPr>
            <w:r w:rsidRPr="007B374E">
              <w:t>Yes</w:t>
            </w:r>
          </w:p>
        </w:tc>
      </w:tr>
      <w:tr w:rsidR="008551CC" w14:paraId="53AAC3E8" w14:textId="77777777" w:rsidTr="00384BA8">
        <w:trPr>
          <w:trHeight w:val="320"/>
        </w:trPr>
        <w:tc>
          <w:tcPr>
            <w:tcW w:w="1720" w:type="dxa"/>
            <w:tcBorders>
              <w:top w:val="nil"/>
              <w:left w:val="nil"/>
              <w:bottom w:val="nil"/>
              <w:right w:val="nil"/>
            </w:tcBorders>
            <w:shd w:val="clear" w:color="auto" w:fill="auto"/>
            <w:noWrap/>
            <w:vAlign w:val="center"/>
            <w:hideMark/>
          </w:tcPr>
          <w:p w14:paraId="2A12EAEA" w14:textId="77777777" w:rsidR="008551CC" w:rsidRPr="00694A2B" w:rsidRDefault="008551CC" w:rsidP="00384BA8">
            <w:pPr>
              <w:pStyle w:val="TableBody"/>
              <w:jc w:val="center"/>
              <w:rPr>
                <w:b/>
              </w:rPr>
            </w:pPr>
            <w:r w:rsidRPr="00211891">
              <w:t>U.S.</w:t>
            </w:r>
            <w:r>
              <w:t>/NATO</w:t>
            </w:r>
          </w:p>
        </w:tc>
        <w:tc>
          <w:tcPr>
            <w:tcW w:w="2380" w:type="dxa"/>
            <w:tcBorders>
              <w:top w:val="nil"/>
              <w:left w:val="nil"/>
              <w:bottom w:val="nil"/>
              <w:right w:val="nil"/>
            </w:tcBorders>
            <w:shd w:val="clear" w:color="auto" w:fill="auto"/>
            <w:noWrap/>
            <w:vAlign w:val="center"/>
            <w:hideMark/>
          </w:tcPr>
          <w:p w14:paraId="32CAE79A" w14:textId="77777777" w:rsidR="008551CC" w:rsidRDefault="008551CC" w:rsidP="00384BA8">
            <w:pPr>
              <w:pStyle w:val="TableBody"/>
              <w:jc w:val="center"/>
              <w:rPr>
                <w:sz w:val="24"/>
                <w:szCs w:val="24"/>
              </w:rPr>
            </w:pPr>
            <w:r>
              <w:t>Kosovo</w:t>
            </w:r>
          </w:p>
        </w:tc>
        <w:tc>
          <w:tcPr>
            <w:tcW w:w="2360" w:type="dxa"/>
            <w:tcBorders>
              <w:top w:val="nil"/>
              <w:left w:val="nil"/>
              <w:bottom w:val="nil"/>
              <w:right w:val="nil"/>
            </w:tcBorders>
            <w:shd w:val="clear" w:color="auto" w:fill="auto"/>
            <w:noWrap/>
            <w:vAlign w:val="center"/>
            <w:hideMark/>
          </w:tcPr>
          <w:p w14:paraId="2D23DB8F" w14:textId="77777777" w:rsidR="008551CC" w:rsidRDefault="008551CC" w:rsidP="00384BA8">
            <w:pPr>
              <w:pStyle w:val="TableBody"/>
              <w:jc w:val="center"/>
            </w:pPr>
            <w:r w:rsidRPr="007B374E">
              <w:t>Yes</w:t>
            </w:r>
          </w:p>
        </w:tc>
      </w:tr>
      <w:tr w:rsidR="008551CC" w14:paraId="5324EEA0" w14:textId="77777777" w:rsidTr="00384BA8">
        <w:trPr>
          <w:trHeight w:val="320"/>
        </w:trPr>
        <w:tc>
          <w:tcPr>
            <w:tcW w:w="1720" w:type="dxa"/>
            <w:tcBorders>
              <w:top w:val="nil"/>
              <w:left w:val="nil"/>
              <w:bottom w:val="nil"/>
              <w:right w:val="nil"/>
            </w:tcBorders>
            <w:shd w:val="clear" w:color="auto" w:fill="auto"/>
            <w:noWrap/>
            <w:vAlign w:val="center"/>
            <w:hideMark/>
          </w:tcPr>
          <w:p w14:paraId="592A75A5" w14:textId="77777777" w:rsidR="008551CC" w:rsidRPr="00694A2B" w:rsidRDefault="008551CC" w:rsidP="00384BA8">
            <w:pPr>
              <w:pStyle w:val="TableBody"/>
              <w:jc w:val="center"/>
              <w:rPr>
                <w:b/>
              </w:rPr>
            </w:pPr>
            <w:r w:rsidRPr="00211891">
              <w:t>U.S.</w:t>
            </w:r>
            <w:r>
              <w:t>/NATO</w:t>
            </w:r>
          </w:p>
        </w:tc>
        <w:tc>
          <w:tcPr>
            <w:tcW w:w="2380" w:type="dxa"/>
            <w:tcBorders>
              <w:top w:val="nil"/>
              <w:left w:val="nil"/>
              <w:bottom w:val="nil"/>
              <w:right w:val="nil"/>
            </w:tcBorders>
            <w:shd w:val="clear" w:color="auto" w:fill="auto"/>
            <w:noWrap/>
            <w:vAlign w:val="center"/>
            <w:hideMark/>
          </w:tcPr>
          <w:p w14:paraId="4CF01707" w14:textId="77777777" w:rsidR="008551CC" w:rsidRDefault="008551CC" w:rsidP="00384BA8">
            <w:pPr>
              <w:pStyle w:val="TableBody"/>
              <w:jc w:val="center"/>
              <w:rPr>
                <w:sz w:val="24"/>
                <w:szCs w:val="24"/>
              </w:rPr>
            </w:pPr>
            <w:r>
              <w:t>Afghanistan</w:t>
            </w:r>
          </w:p>
        </w:tc>
        <w:tc>
          <w:tcPr>
            <w:tcW w:w="2360" w:type="dxa"/>
            <w:tcBorders>
              <w:top w:val="nil"/>
              <w:left w:val="nil"/>
              <w:bottom w:val="nil"/>
              <w:right w:val="nil"/>
            </w:tcBorders>
            <w:shd w:val="clear" w:color="auto" w:fill="auto"/>
            <w:noWrap/>
            <w:vAlign w:val="center"/>
            <w:hideMark/>
          </w:tcPr>
          <w:p w14:paraId="31B04A73" w14:textId="77777777" w:rsidR="008551CC" w:rsidRDefault="008551CC" w:rsidP="00384BA8">
            <w:pPr>
              <w:pStyle w:val="TableBody"/>
              <w:jc w:val="center"/>
            </w:pPr>
            <w:r w:rsidRPr="007B374E">
              <w:t>No</w:t>
            </w:r>
          </w:p>
        </w:tc>
      </w:tr>
      <w:tr w:rsidR="008551CC" w14:paraId="587E1469" w14:textId="77777777" w:rsidTr="00384BA8">
        <w:trPr>
          <w:trHeight w:val="320"/>
        </w:trPr>
        <w:tc>
          <w:tcPr>
            <w:tcW w:w="1720" w:type="dxa"/>
            <w:tcBorders>
              <w:top w:val="nil"/>
              <w:left w:val="nil"/>
              <w:bottom w:val="nil"/>
              <w:right w:val="nil"/>
            </w:tcBorders>
            <w:shd w:val="clear" w:color="auto" w:fill="auto"/>
            <w:noWrap/>
            <w:vAlign w:val="center"/>
            <w:hideMark/>
          </w:tcPr>
          <w:p w14:paraId="4AE34997" w14:textId="77777777" w:rsidR="008551CC" w:rsidRPr="00694A2B" w:rsidRDefault="008551CC" w:rsidP="00384BA8">
            <w:pPr>
              <w:pStyle w:val="TableBody"/>
              <w:jc w:val="center"/>
              <w:rPr>
                <w:b/>
              </w:rPr>
            </w:pPr>
            <w:r w:rsidRPr="00211891">
              <w:t>U.S.</w:t>
            </w:r>
          </w:p>
        </w:tc>
        <w:tc>
          <w:tcPr>
            <w:tcW w:w="2380" w:type="dxa"/>
            <w:tcBorders>
              <w:top w:val="nil"/>
              <w:left w:val="nil"/>
              <w:bottom w:val="nil"/>
              <w:right w:val="nil"/>
            </w:tcBorders>
            <w:shd w:val="clear" w:color="auto" w:fill="auto"/>
            <w:noWrap/>
            <w:vAlign w:val="center"/>
            <w:hideMark/>
          </w:tcPr>
          <w:p w14:paraId="0C8AFB0D" w14:textId="77777777" w:rsidR="008551CC" w:rsidRDefault="008551CC" w:rsidP="00384BA8">
            <w:pPr>
              <w:pStyle w:val="TableBody"/>
              <w:jc w:val="center"/>
              <w:rPr>
                <w:sz w:val="24"/>
                <w:szCs w:val="24"/>
              </w:rPr>
            </w:pPr>
            <w:r>
              <w:t>Iraq</w:t>
            </w:r>
          </w:p>
        </w:tc>
        <w:tc>
          <w:tcPr>
            <w:tcW w:w="2360" w:type="dxa"/>
            <w:tcBorders>
              <w:top w:val="nil"/>
              <w:left w:val="nil"/>
              <w:bottom w:val="nil"/>
              <w:right w:val="nil"/>
            </w:tcBorders>
            <w:shd w:val="clear" w:color="auto" w:fill="auto"/>
            <w:noWrap/>
            <w:vAlign w:val="center"/>
            <w:hideMark/>
          </w:tcPr>
          <w:p w14:paraId="4ACDE95B" w14:textId="77777777" w:rsidR="008551CC" w:rsidRDefault="008551CC" w:rsidP="00384BA8">
            <w:pPr>
              <w:pStyle w:val="TableBody"/>
              <w:jc w:val="center"/>
              <w:rPr>
                <w:color w:val="FF0000"/>
              </w:rPr>
            </w:pPr>
            <w:r w:rsidRPr="007B374E">
              <w:rPr>
                <w:color w:val="000000" w:themeColor="text1"/>
              </w:rPr>
              <w:t>No</w:t>
            </w:r>
          </w:p>
        </w:tc>
      </w:tr>
      <w:tr w:rsidR="008551CC" w14:paraId="359CF6EC" w14:textId="77777777" w:rsidTr="00384BA8">
        <w:trPr>
          <w:trHeight w:val="320"/>
        </w:trPr>
        <w:tc>
          <w:tcPr>
            <w:tcW w:w="1720" w:type="dxa"/>
            <w:tcBorders>
              <w:top w:val="nil"/>
              <w:left w:val="nil"/>
              <w:bottom w:val="nil"/>
              <w:right w:val="nil"/>
            </w:tcBorders>
            <w:shd w:val="clear" w:color="auto" w:fill="auto"/>
            <w:noWrap/>
            <w:vAlign w:val="center"/>
            <w:hideMark/>
          </w:tcPr>
          <w:p w14:paraId="77E1DD81" w14:textId="77777777" w:rsidR="008551CC" w:rsidRPr="00694A2B" w:rsidRDefault="008551CC" w:rsidP="00384BA8">
            <w:pPr>
              <w:pStyle w:val="TableBody"/>
              <w:jc w:val="center"/>
              <w:rPr>
                <w:b/>
              </w:rPr>
            </w:pPr>
            <w:r w:rsidRPr="006A1061">
              <w:t>UN</w:t>
            </w:r>
          </w:p>
        </w:tc>
        <w:tc>
          <w:tcPr>
            <w:tcW w:w="2380" w:type="dxa"/>
            <w:tcBorders>
              <w:top w:val="nil"/>
              <w:left w:val="nil"/>
              <w:bottom w:val="nil"/>
              <w:right w:val="nil"/>
            </w:tcBorders>
            <w:shd w:val="clear" w:color="auto" w:fill="auto"/>
            <w:noWrap/>
            <w:vAlign w:val="center"/>
            <w:hideMark/>
          </w:tcPr>
          <w:p w14:paraId="2EFB8424" w14:textId="77777777" w:rsidR="008551CC" w:rsidRDefault="008551CC" w:rsidP="00384BA8">
            <w:pPr>
              <w:pStyle w:val="TableBody"/>
              <w:jc w:val="center"/>
            </w:pPr>
            <w:r>
              <w:t>Belgian Congo</w:t>
            </w:r>
          </w:p>
        </w:tc>
        <w:tc>
          <w:tcPr>
            <w:tcW w:w="2360" w:type="dxa"/>
            <w:tcBorders>
              <w:top w:val="nil"/>
              <w:left w:val="nil"/>
              <w:bottom w:val="nil"/>
              <w:right w:val="nil"/>
            </w:tcBorders>
            <w:shd w:val="clear" w:color="auto" w:fill="auto"/>
            <w:noWrap/>
            <w:vAlign w:val="center"/>
            <w:hideMark/>
          </w:tcPr>
          <w:p w14:paraId="020930AC" w14:textId="77777777" w:rsidR="008551CC" w:rsidRDefault="008551CC" w:rsidP="00384BA8">
            <w:pPr>
              <w:pStyle w:val="TableBody"/>
              <w:jc w:val="center"/>
              <w:rPr>
                <w:color w:val="FF0000"/>
              </w:rPr>
            </w:pPr>
            <w:r w:rsidRPr="007B374E">
              <w:rPr>
                <w:color w:val="000000" w:themeColor="text1"/>
              </w:rPr>
              <w:t>No</w:t>
            </w:r>
          </w:p>
        </w:tc>
      </w:tr>
      <w:tr w:rsidR="008551CC" w14:paraId="0A73D1CF" w14:textId="77777777" w:rsidTr="00384BA8">
        <w:trPr>
          <w:trHeight w:val="320"/>
        </w:trPr>
        <w:tc>
          <w:tcPr>
            <w:tcW w:w="1720" w:type="dxa"/>
            <w:tcBorders>
              <w:top w:val="nil"/>
              <w:left w:val="nil"/>
              <w:bottom w:val="nil"/>
              <w:right w:val="nil"/>
            </w:tcBorders>
            <w:shd w:val="clear" w:color="auto" w:fill="auto"/>
            <w:noWrap/>
            <w:vAlign w:val="center"/>
            <w:hideMark/>
          </w:tcPr>
          <w:p w14:paraId="61B99DAB" w14:textId="77777777" w:rsidR="008551CC" w:rsidRPr="00694A2B" w:rsidRDefault="008551CC" w:rsidP="00384BA8">
            <w:pPr>
              <w:pStyle w:val="TableBody"/>
              <w:jc w:val="center"/>
              <w:rPr>
                <w:b/>
                <w:color w:val="FF0000"/>
              </w:rPr>
            </w:pPr>
            <w:r w:rsidRPr="00801FFE">
              <w:t>UN</w:t>
            </w:r>
          </w:p>
        </w:tc>
        <w:tc>
          <w:tcPr>
            <w:tcW w:w="2380" w:type="dxa"/>
            <w:tcBorders>
              <w:top w:val="nil"/>
              <w:left w:val="nil"/>
              <w:bottom w:val="nil"/>
              <w:right w:val="nil"/>
            </w:tcBorders>
            <w:shd w:val="clear" w:color="auto" w:fill="auto"/>
            <w:noWrap/>
            <w:vAlign w:val="center"/>
            <w:hideMark/>
          </w:tcPr>
          <w:p w14:paraId="28E2831D" w14:textId="77777777" w:rsidR="008551CC" w:rsidRDefault="008551CC" w:rsidP="00384BA8">
            <w:pPr>
              <w:pStyle w:val="TableBody"/>
              <w:jc w:val="center"/>
              <w:rPr>
                <w:sz w:val="24"/>
                <w:szCs w:val="24"/>
              </w:rPr>
            </w:pPr>
            <w:r>
              <w:t>Namibia</w:t>
            </w:r>
          </w:p>
        </w:tc>
        <w:tc>
          <w:tcPr>
            <w:tcW w:w="2360" w:type="dxa"/>
            <w:tcBorders>
              <w:top w:val="nil"/>
              <w:left w:val="nil"/>
              <w:bottom w:val="nil"/>
              <w:right w:val="nil"/>
            </w:tcBorders>
            <w:shd w:val="clear" w:color="auto" w:fill="auto"/>
            <w:noWrap/>
            <w:vAlign w:val="center"/>
            <w:hideMark/>
          </w:tcPr>
          <w:p w14:paraId="14CCA8C9" w14:textId="77777777" w:rsidR="008551CC" w:rsidRDefault="008551CC" w:rsidP="00384BA8">
            <w:pPr>
              <w:pStyle w:val="TableBody"/>
              <w:jc w:val="center"/>
            </w:pPr>
            <w:r w:rsidRPr="007B374E">
              <w:t>Yes</w:t>
            </w:r>
          </w:p>
        </w:tc>
      </w:tr>
      <w:tr w:rsidR="008551CC" w14:paraId="3C513294" w14:textId="77777777" w:rsidTr="00384BA8">
        <w:trPr>
          <w:trHeight w:val="320"/>
        </w:trPr>
        <w:tc>
          <w:tcPr>
            <w:tcW w:w="1720" w:type="dxa"/>
            <w:tcBorders>
              <w:top w:val="nil"/>
              <w:left w:val="nil"/>
              <w:bottom w:val="nil"/>
              <w:right w:val="nil"/>
            </w:tcBorders>
            <w:shd w:val="clear" w:color="auto" w:fill="auto"/>
            <w:noWrap/>
            <w:vAlign w:val="center"/>
            <w:hideMark/>
          </w:tcPr>
          <w:p w14:paraId="18449AD0" w14:textId="77777777" w:rsidR="008551CC" w:rsidRPr="00694A2B" w:rsidRDefault="008551CC" w:rsidP="00384BA8">
            <w:pPr>
              <w:pStyle w:val="TableBody"/>
              <w:jc w:val="center"/>
              <w:rPr>
                <w:b/>
              </w:rPr>
            </w:pPr>
            <w:r w:rsidRPr="00801FFE">
              <w:t>UN</w:t>
            </w:r>
          </w:p>
        </w:tc>
        <w:tc>
          <w:tcPr>
            <w:tcW w:w="2380" w:type="dxa"/>
            <w:tcBorders>
              <w:top w:val="nil"/>
              <w:left w:val="nil"/>
              <w:bottom w:val="nil"/>
              <w:right w:val="nil"/>
            </w:tcBorders>
            <w:shd w:val="clear" w:color="auto" w:fill="auto"/>
            <w:noWrap/>
            <w:vAlign w:val="center"/>
            <w:hideMark/>
          </w:tcPr>
          <w:p w14:paraId="1AF3E246" w14:textId="77777777" w:rsidR="008551CC" w:rsidRDefault="008551CC" w:rsidP="00384BA8">
            <w:pPr>
              <w:pStyle w:val="TableBody"/>
              <w:jc w:val="center"/>
              <w:rPr>
                <w:sz w:val="24"/>
                <w:szCs w:val="24"/>
              </w:rPr>
            </w:pPr>
            <w:r>
              <w:t>El Salvador</w:t>
            </w:r>
          </w:p>
        </w:tc>
        <w:tc>
          <w:tcPr>
            <w:tcW w:w="2360" w:type="dxa"/>
            <w:tcBorders>
              <w:top w:val="nil"/>
              <w:left w:val="nil"/>
              <w:bottom w:val="nil"/>
              <w:right w:val="nil"/>
            </w:tcBorders>
            <w:shd w:val="clear" w:color="auto" w:fill="auto"/>
            <w:noWrap/>
            <w:vAlign w:val="center"/>
            <w:hideMark/>
          </w:tcPr>
          <w:p w14:paraId="193C6090" w14:textId="77777777" w:rsidR="008551CC" w:rsidRDefault="008551CC" w:rsidP="00384BA8">
            <w:pPr>
              <w:pStyle w:val="TableBody"/>
              <w:jc w:val="center"/>
            </w:pPr>
            <w:r w:rsidRPr="007B374E">
              <w:t>Yes</w:t>
            </w:r>
          </w:p>
        </w:tc>
      </w:tr>
      <w:tr w:rsidR="008551CC" w14:paraId="0E5135C0" w14:textId="77777777" w:rsidTr="00384BA8">
        <w:trPr>
          <w:trHeight w:val="320"/>
        </w:trPr>
        <w:tc>
          <w:tcPr>
            <w:tcW w:w="1720" w:type="dxa"/>
            <w:tcBorders>
              <w:top w:val="nil"/>
              <w:left w:val="nil"/>
              <w:bottom w:val="nil"/>
              <w:right w:val="nil"/>
            </w:tcBorders>
            <w:shd w:val="clear" w:color="auto" w:fill="auto"/>
            <w:noWrap/>
            <w:vAlign w:val="center"/>
            <w:hideMark/>
          </w:tcPr>
          <w:p w14:paraId="120E2F6F" w14:textId="77777777" w:rsidR="008551CC" w:rsidRPr="00694A2B" w:rsidRDefault="008551CC" w:rsidP="00384BA8">
            <w:pPr>
              <w:pStyle w:val="TableBody"/>
              <w:jc w:val="center"/>
              <w:rPr>
                <w:b/>
              </w:rPr>
            </w:pPr>
            <w:r w:rsidRPr="00801FFE">
              <w:t>UN</w:t>
            </w:r>
          </w:p>
        </w:tc>
        <w:tc>
          <w:tcPr>
            <w:tcW w:w="2380" w:type="dxa"/>
            <w:tcBorders>
              <w:top w:val="nil"/>
              <w:left w:val="nil"/>
              <w:bottom w:val="nil"/>
              <w:right w:val="nil"/>
            </w:tcBorders>
            <w:shd w:val="clear" w:color="auto" w:fill="auto"/>
            <w:noWrap/>
            <w:vAlign w:val="center"/>
            <w:hideMark/>
          </w:tcPr>
          <w:p w14:paraId="453E7CBB" w14:textId="77777777" w:rsidR="008551CC" w:rsidRDefault="008551CC" w:rsidP="00384BA8">
            <w:pPr>
              <w:pStyle w:val="TableBody"/>
              <w:jc w:val="center"/>
              <w:rPr>
                <w:sz w:val="24"/>
                <w:szCs w:val="24"/>
              </w:rPr>
            </w:pPr>
            <w:r>
              <w:t>Cambodia</w:t>
            </w:r>
          </w:p>
        </w:tc>
        <w:tc>
          <w:tcPr>
            <w:tcW w:w="2360" w:type="dxa"/>
            <w:tcBorders>
              <w:top w:val="nil"/>
              <w:left w:val="nil"/>
              <w:bottom w:val="nil"/>
              <w:right w:val="nil"/>
            </w:tcBorders>
            <w:shd w:val="clear" w:color="auto" w:fill="auto"/>
            <w:noWrap/>
            <w:vAlign w:val="center"/>
            <w:hideMark/>
          </w:tcPr>
          <w:p w14:paraId="0943EFBF" w14:textId="77777777" w:rsidR="008551CC" w:rsidRDefault="008551CC" w:rsidP="00384BA8">
            <w:pPr>
              <w:pStyle w:val="TableBody"/>
              <w:jc w:val="center"/>
            </w:pPr>
            <w:r w:rsidRPr="007B374E">
              <w:t>Yes</w:t>
            </w:r>
          </w:p>
        </w:tc>
      </w:tr>
      <w:tr w:rsidR="008551CC" w14:paraId="56227D5A" w14:textId="77777777" w:rsidTr="00384BA8">
        <w:trPr>
          <w:trHeight w:val="320"/>
        </w:trPr>
        <w:tc>
          <w:tcPr>
            <w:tcW w:w="1720" w:type="dxa"/>
            <w:tcBorders>
              <w:top w:val="nil"/>
              <w:left w:val="nil"/>
              <w:bottom w:val="nil"/>
              <w:right w:val="nil"/>
            </w:tcBorders>
            <w:shd w:val="clear" w:color="auto" w:fill="auto"/>
            <w:noWrap/>
            <w:vAlign w:val="center"/>
            <w:hideMark/>
          </w:tcPr>
          <w:p w14:paraId="5C87C58A" w14:textId="77777777" w:rsidR="008551CC" w:rsidRPr="00694A2B" w:rsidRDefault="008551CC" w:rsidP="00384BA8">
            <w:pPr>
              <w:pStyle w:val="TableBody"/>
              <w:jc w:val="center"/>
              <w:rPr>
                <w:b/>
              </w:rPr>
            </w:pPr>
            <w:r w:rsidRPr="00801FFE">
              <w:t>UN</w:t>
            </w:r>
          </w:p>
        </w:tc>
        <w:tc>
          <w:tcPr>
            <w:tcW w:w="2380" w:type="dxa"/>
            <w:tcBorders>
              <w:top w:val="nil"/>
              <w:left w:val="nil"/>
              <w:bottom w:val="nil"/>
              <w:right w:val="nil"/>
            </w:tcBorders>
            <w:shd w:val="clear" w:color="auto" w:fill="auto"/>
            <w:noWrap/>
            <w:vAlign w:val="center"/>
            <w:hideMark/>
          </w:tcPr>
          <w:p w14:paraId="5FB22136" w14:textId="77777777" w:rsidR="008551CC" w:rsidRDefault="008551CC" w:rsidP="00384BA8">
            <w:pPr>
              <w:pStyle w:val="TableBody"/>
              <w:jc w:val="center"/>
              <w:rPr>
                <w:sz w:val="24"/>
                <w:szCs w:val="24"/>
              </w:rPr>
            </w:pPr>
            <w:r>
              <w:t>Mozambique</w:t>
            </w:r>
          </w:p>
        </w:tc>
        <w:tc>
          <w:tcPr>
            <w:tcW w:w="2360" w:type="dxa"/>
            <w:tcBorders>
              <w:top w:val="nil"/>
              <w:left w:val="nil"/>
              <w:bottom w:val="nil"/>
              <w:right w:val="nil"/>
            </w:tcBorders>
            <w:shd w:val="clear" w:color="auto" w:fill="auto"/>
            <w:noWrap/>
            <w:vAlign w:val="center"/>
            <w:hideMark/>
          </w:tcPr>
          <w:p w14:paraId="4FB10BE7" w14:textId="77777777" w:rsidR="008551CC" w:rsidRDefault="008551CC" w:rsidP="00384BA8">
            <w:pPr>
              <w:pStyle w:val="TableBody"/>
              <w:jc w:val="center"/>
            </w:pPr>
            <w:r w:rsidRPr="007B374E">
              <w:t>Yes</w:t>
            </w:r>
          </w:p>
        </w:tc>
      </w:tr>
      <w:tr w:rsidR="008551CC" w14:paraId="00C9598E" w14:textId="77777777" w:rsidTr="00384BA8">
        <w:trPr>
          <w:trHeight w:val="320"/>
        </w:trPr>
        <w:tc>
          <w:tcPr>
            <w:tcW w:w="1720" w:type="dxa"/>
            <w:tcBorders>
              <w:top w:val="nil"/>
              <w:left w:val="nil"/>
              <w:bottom w:val="nil"/>
              <w:right w:val="nil"/>
            </w:tcBorders>
            <w:shd w:val="clear" w:color="auto" w:fill="auto"/>
            <w:noWrap/>
            <w:vAlign w:val="center"/>
            <w:hideMark/>
          </w:tcPr>
          <w:p w14:paraId="042FB6C6" w14:textId="77777777" w:rsidR="008551CC" w:rsidRPr="00694A2B" w:rsidRDefault="008551CC" w:rsidP="00384BA8">
            <w:pPr>
              <w:pStyle w:val="TableBody"/>
              <w:jc w:val="center"/>
              <w:rPr>
                <w:b/>
              </w:rPr>
            </w:pPr>
            <w:r w:rsidRPr="00801FFE">
              <w:t>UN</w:t>
            </w:r>
          </w:p>
        </w:tc>
        <w:tc>
          <w:tcPr>
            <w:tcW w:w="2380" w:type="dxa"/>
            <w:tcBorders>
              <w:top w:val="nil"/>
              <w:left w:val="nil"/>
              <w:bottom w:val="nil"/>
              <w:right w:val="nil"/>
            </w:tcBorders>
            <w:shd w:val="clear" w:color="auto" w:fill="auto"/>
            <w:noWrap/>
            <w:vAlign w:val="center"/>
            <w:hideMark/>
          </w:tcPr>
          <w:p w14:paraId="35836B93" w14:textId="77777777" w:rsidR="008551CC" w:rsidRDefault="008551CC" w:rsidP="00384BA8">
            <w:pPr>
              <w:pStyle w:val="TableBody"/>
              <w:jc w:val="center"/>
              <w:rPr>
                <w:sz w:val="24"/>
                <w:szCs w:val="24"/>
              </w:rPr>
            </w:pPr>
            <w:r>
              <w:t>Eastern Slavonia</w:t>
            </w:r>
          </w:p>
        </w:tc>
        <w:tc>
          <w:tcPr>
            <w:tcW w:w="2360" w:type="dxa"/>
            <w:tcBorders>
              <w:top w:val="nil"/>
              <w:left w:val="nil"/>
              <w:bottom w:val="nil"/>
              <w:right w:val="nil"/>
            </w:tcBorders>
            <w:shd w:val="clear" w:color="auto" w:fill="auto"/>
            <w:noWrap/>
            <w:vAlign w:val="center"/>
            <w:hideMark/>
          </w:tcPr>
          <w:p w14:paraId="0DC2AF3C" w14:textId="77777777" w:rsidR="008551CC" w:rsidRDefault="008551CC" w:rsidP="00384BA8">
            <w:pPr>
              <w:pStyle w:val="TableBody"/>
              <w:jc w:val="center"/>
            </w:pPr>
            <w:r w:rsidRPr="007B374E">
              <w:t>Yes</w:t>
            </w:r>
          </w:p>
        </w:tc>
      </w:tr>
      <w:tr w:rsidR="008551CC" w14:paraId="5703EEDA" w14:textId="77777777" w:rsidTr="00384BA8">
        <w:trPr>
          <w:trHeight w:val="320"/>
        </w:trPr>
        <w:tc>
          <w:tcPr>
            <w:tcW w:w="1720" w:type="dxa"/>
            <w:tcBorders>
              <w:top w:val="nil"/>
              <w:left w:val="nil"/>
              <w:bottom w:val="nil"/>
              <w:right w:val="nil"/>
            </w:tcBorders>
            <w:shd w:val="clear" w:color="auto" w:fill="auto"/>
            <w:noWrap/>
            <w:vAlign w:val="center"/>
            <w:hideMark/>
          </w:tcPr>
          <w:p w14:paraId="477D5E5F" w14:textId="77777777" w:rsidR="008551CC" w:rsidRPr="00694A2B" w:rsidRDefault="008551CC" w:rsidP="00384BA8">
            <w:pPr>
              <w:pStyle w:val="TableBody"/>
              <w:jc w:val="center"/>
              <w:rPr>
                <w:b/>
              </w:rPr>
            </w:pPr>
            <w:r w:rsidRPr="00801FFE">
              <w:t>UN</w:t>
            </w:r>
          </w:p>
        </w:tc>
        <w:tc>
          <w:tcPr>
            <w:tcW w:w="2380" w:type="dxa"/>
            <w:tcBorders>
              <w:top w:val="nil"/>
              <w:left w:val="nil"/>
              <w:bottom w:val="nil"/>
              <w:right w:val="nil"/>
            </w:tcBorders>
            <w:shd w:val="clear" w:color="auto" w:fill="auto"/>
            <w:noWrap/>
            <w:vAlign w:val="center"/>
            <w:hideMark/>
          </w:tcPr>
          <w:p w14:paraId="2F9A4EC9" w14:textId="77777777" w:rsidR="008551CC" w:rsidRDefault="008551CC" w:rsidP="00384BA8">
            <w:pPr>
              <w:pStyle w:val="TableBody"/>
              <w:jc w:val="center"/>
              <w:rPr>
                <w:sz w:val="24"/>
                <w:szCs w:val="24"/>
              </w:rPr>
            </w:pPr>
            <w:r>
              <w:t>East Timor</w:t>
            </w:r>
          </w:p>
        </w:tc>
        <w:tc>
          <w:tcPr>
            <w:tcW w:w="2360" w:type="dxa"/>
            <w:tcBorders>
              <w:top w:val="nil"/>
              <w:left w:val="nil"/>
              <w:bottom w:val="nil"/>
              <w:right w:val="nil"/>
            </w:tcBorders>
            <w:shd w:val="clear" w:color="auto" w:fill="auto"/>
            <w:noWrap/>
            <w:vAlign w:val="center"/>
            <w:hideMark/>
          </w:tcPr>
          <w:p w14:paraId="4DCD4604" w14:textId="77777777" w:rsidR="008551CC" w:rsidRDefault="008551CC" w:rsidP="00384BA8">
            <w:pPr>
              <w:pStyle w:val="TableBody"/>
              <w:jc w:val="center"/>
            </w:pPr>
            <w:r w:rsidRPr="007B374E">
              <w:t>Yes</w:t>
            </w:r>
          </w:p>
        </w:tc>
      </w:tr>
      <w:tr w:rsidR="008551CC" w14:paraId="40BCAFB7" w14:textId="77777777" w:rsidTr="00384BA8">
        <w:trPr>
          <w:trHeight w:val="320"/>
        </w:trPr>
        <w:tc>
          <w:tcPr>
            <w:tcW w:w="1720" w:type="dxa"/>
            <w:tcBorders>
              <w:top w:val="nil"/>
              <w:left w:val="nil"/>
              <w:bottom w:val="nil"/>
              <w:right w:val="nil"/>
            </w:tcBorders>
            <w:shd w:val="clear" w:color="auto" w:fill="auto"/>
            <w:noWrap/>
            <w:vAlign w:val="center"/>
            <w:hideMark/>
          </w:tcPr>
          <w:p w14:paraId="4CEF1482" w14:textId="77777777" w:rsidR="008551CC" w:rsidRPr="00694A2B" w:rsidRDefault="008551CC" w:rsidP="00384BA8">
            <w:pPr>
              <w:pStyle w:val="TableBody"/>
              <w:jc w:val="center"/>
              <w:rPr>
                <w:b/>
              </w:rPr>
            </w:pPr>
            <w:r w:rsidRPr="006A1061">
              <w:t>EUR</w:t>
            </w:r>
          </w:p>
        </w:tc>
        <w:tc>
          <w:tcPr>
            <w:tcW w:w="2380" w:type="dxa"/>
            <w:tcBorders>
              <w:top w:val="nil"/>
              <w:left w:val="nil"/>
              <w:bottom w:val="nil"/>
              <w:right w:val="nil"/>
            </w:tcBorders>
            <w:shd w:val="clear" w:color="auto" w:fill="auto"/>
            <w:noWrap/>
            <w:vAlign w:val="center"/>
            <w:hideMark/>
          </w:tcPr>
          <w:p w14:paraId="0AF2ADF9" w14:textId="77777777" w:rsidR="008551CC" w:rsidRDefault="008551CC" w:rsidP="00384BA8">
            <w:pPr>
              <w:pStyle w:val="TableBody"/>
              <w:jc w:val="center"/>
            </w:pPr>
            <w:r>
              <w:t>Albania</w:t>
            </w:r>
          </w:p>
        </w:tc>
        <w:tc>
          <w:tcPr>
            <w:tcW w:w="2360" w:type="dxa"/>
            <w:tcBorders>
              <w:top w:val="nil"/>
              <w:left w:val="nil"/>
              <w:bottom w:val="nil"/>
              <w:right w:val="nil"/>
            </w:tcBorders>
            <w:shd w:val="clear" w:color="auto" w:fill="auto"/>
            <w:noWrap/>
            <w:vAlign w:val="center"/>
            <w:hideMark/>
          </w:tcPr>
          <w:p w14:paraId="1B08EEC5" w14:textId="77777777" w:rsidR="008551CC" w:rsidRDefault="008551CC" w:rsidP="00384BA8">
            <w:pPr>
              <w:pStyle w:val="TableBody"/>
              <w:jc w:val="center"/>
            </w:pPr>
            <w:r w:rsidRPr="007B374E">
              <w:t>Yes</w:t>
            </w:r>
          </w:p>
        </w:tc>
      </w:tr>
      <w:tr w:rsidR="008551CC" w14:paraId="0F543601" w14:textId="77777777" w:rsidTr="00384BA8">
        <w:trPr>
          <w:trHeight w:val="320"/>
        </w:trPr>
        <w:tc>
          <w:tcPr>
            <w:tcW w:w="1720" w:type="dxa"/>
            <w:tcBorders>
              <w:top w:val="nil"/>
              <w:left w:val="nil"/>
              <w:bottom w:val="nil"/>
              <w:right w:val="nil"/>
            </w:tcBorders>
            <w:shd w:val="clear" w:color="auto" w:fill="auto"/>
            <w:noWrap/>
            <w:vAlign w:val="center"/>
            <w:hideMark/>
          </w:tcPr>
          <w:p w14:paraId="21ADE982" w14:textId="77777777" w:rsidR="008551CC" w:rsidRPr="00694A2B" w:rsidRDefault="008551CC" w:rsidP="00384BA8">
            <w:pPr>
              <w:pStyle w:val="TableBody"/>
              <w:jc w:val="center"/>
              <w:rPr>
                <w:b/>
              </w:rPr>
            </w:pPr>
            <w:r w:rsidRPr="009F1733">
              <w:t>EUR</w:t>
            </w:r>
          </w:p>
        </w:tc>
        <w:tc>
          <w:tcPr>
            <w:tcW w:w="2380" w:type="dxa"/>
            <w:tcBorders>
              <w:top w:val="nil"/>
              <w:left w:val="nil"/>
              <w:bottom w:val="nil"/>
              <w:right w:val="nil"/>
            </w:tcBorders>
            <w:shd w:val="clear" w:color="auto" w:fill="auto"/>
            <w:noWrap/>
            <w:vAlign w:val="center"/>
            <w:hideMark/>
          </w:tcPr>
          <w:p w14:paraId="27E3D487" w14:textId="77777777" w:rsidR="008551CC" w:rsidRDefault="008551CC" w:rsidP="00384BA8">
            <w:pPr>
              <w:pStyle w:val="TableBody"/>
              <w:jc w:val="center"/>
              <w:rPr>
                <w:sz w:val="24"/>
                <w:szCs w:val="24"/>
              </w:rPr>
            </w:pPr>
            <w:r>
              <w:t>Sierra Leone</w:t>
            </w:r>
          </w:p>
        </w:tc>
        <w:tc>
          <w:tcPr>
            <w:tcW w:w="2360" w:type="dxa"/>
            <w:tcBorders>
              <w:top w:val="nil"/>
              <w:left w:val="nil"/>
              <w:bottom w:val="nil"/>
              <w:right w:val="nil"/>
            </w:tcBorders>
            <w:shd w:val="clear" w:color="auto" w:fill="auto"/>
            <w:noWrap/>
            <w:vAlign w:val="center"/>
            <w:hideMark/>
          </w:tcPr>
          <w:p w14:paraId="6A5D10A3" w14:textId="77777777" w:rsidR="008551CC" w:rsidRDefault="008551CC" w:rsidP="00384BA8">
            <w:pPr>
              <w:pStyle w:val="TableBody"/>
              <w:jc w:val="center"/>
            </w:pPr>
            <w:r w:rsidRPr="007B374E">
              <w:t>Yes</w:t>
            </w:r>
          </w:p>
        </w:tc>
      </w:tr>
      <w:tr w:rsidR="008551CC" w14:paraId="637D3685" w14:textId="77777777" w:rsidTr="00384BA8">
        <w:trPr>
          <w:trHeight w:val="320"/>
        </w:trPr>
        <w:tc>
          <w:tcPr>
            <w:tcW w:w="1720" w:type="dxa"/>
            <w:tcBorders>
              <w:top w:val="nil"/>
              <w:left w:val="nil"/>
              <w:bottom w:val="nil"/>
              <w:right w:val="nil"/>
            </w:tcBorders>
            <w:shd w:val="clear" w:color="auto" w:fill="auto"/>
            <w:noWrap/>
            <w:vAlign w:val="center"/>
            <w:hideMark/>
          </w:tcPr>
          <w:p w14:paraId="2CA87059" w14:textId="77777777" w:rsidR="008551CC" w:rsidRPr="00694A2B" w:rsidRDefault="008551CC" w:rsidP="00384BA8">
            <w:pPr>
              <w:pStyle w:val="TableBody"/>
              <w:jc w:val="center"/>
              <w:rPr>
                <w:b/>
              </w:rPr>
            </w:pPr>
            <w:r w:rsidRPr="009F1733">
              <w:t>EUR</w:t>
            </w:r>
          </w:p>
        </w:tc>
        <w:tc>
          <w:tcPr>
            <w:tcW w:w="2380" w:type="dxa"/>
            <w:tcBorders>
              <w:top w:val="nil"/>
              <w:left w:val="nil"/>
              <w:bottom w:val="nil"/>
              <w:right w:val="nil"/>
            </w:tcBorders>
            <w:shd w:val="clear" w:color="auto" w:fill="auto"/>
            <w:noWrap/>
            <w:vAlign w:val="center"/>
            <w:hideMark/>
          </w:tcPr>
          <w:p w14:paraId="54EAD1B5" w14:textId="77777777" w:rsidR="008551CC" w:rsidRDefault="008551CC" w:rsidP="00384BA8">
            <w:pPr>
              <w:pStyle w:val="TableBody"/>
              <w:jc w:val="center"/>
              <w:rPr>
                <w:sz w:val="24"/>
                <w:szCs w:val="24"/>
              </w:rPr>
            </w:pPr>
            <w:r>
              <w:t>Macedonia</w:t>
            </w:r>
          </w:p>
        </w:tc>
        <w:tc>
          <w:tcPr>
            <w:tcW w:w="2360" w:type="dxa"/>
            <w:tcBorders>
              <w:top w:val="nil"/>
              <w:left w:val="nil"/>
              <w:bottom w:val="nil"/>
              <w:right w:val="nil"/>
            </w:tcBorders>
            <w:shd w:val="clear" w:color="auto" w:fill="auto"/>
            <w:noWrap/>
            <w:vAlign w:val="center"/>
            <w:hideMark/>
          </w:tcPr>
          <w:p w14:paraId="4F7C029E" w14:textId="77777777" w:rsidR="008551CC" w:rsidRDefault="008551CC" w:rsidP="00384BA8">
            <w:pPr>
              <w:pStyle w:val="TableBody"/>
              <w:jc w:val="center"/>
            </w:pPr>
            <w:r w:rsidRPr="007B374E">
              <w:t>Yes</w:t>
            </w:r>
          </w:p>
        </w:tc>
      </w:tr>
      <w:tr w:rsidR="008551CC" w14:paraId="091DCEBC" w14:textId="77777777" w:rsidTr="00384BA8">
        <w:trPr>
          <w:trHeight w:val="320"/>
        </w:trPr>
        <w:tc>
          <w:tcPr>
            <w:tcW w:w="1720" w:type="dxa"/>
            <w:tcBorders>
              <w:top w:val="nil"/>
              <w:left w:val="nil"/>
              <w:bottom w:val="nil"/>
              <w:right w:val="nil"/>
            </w:tcBorders>
            <w:shd w:val="clear" w:color="auto" w:fill="auto"/>
            <w:noWrap/>
            <w:vAlign w:val="center"/>
            <w:hideMark/>
          </w:tcPr>
          <w:p w14:paraId="55A18553" w14:textId="77777777" w:rsidR="008551CC" w:rsidRPr="00694A2B" w:rsidRDefault="008551CC" w:rsidP="00384BA8">
            <w:pPr>
              <w:pStyle w:val="TableBody"/>
              <w:jc w:val="center"/>
              <w:rPr>
                <w:b/>
              </w:rPr>
            </w:pPr>
            <w:r w:rsidRPr="009F1733">
              <w:t>EUR</w:t>
            </w:r>
          </w:p>
        </w:tc>
        <w:tc>
          <w:tcPr>
            <w:tcW w:w="2380" w:type="dxa"/>
            <w:tcBorders>
              <w:top w:val="nil"/>
              <w:left w:val="nil"/>
              <w:bottom w:val="nil"/>
              <w:right w:val="nil"/>
            </w:tcBorders>
            <w:shd w:val="clear" w:color="auto" w:fill="auto"/>
            <w:noWrap/>
            <w:vAlign w:val="center"/>
            <w:hideMark/>
          </w:tcPr>
          <w:p w14:paraId="3084A868" w14:textId="77777777" w:rsidR="008551CC" w:rsidRDefault="008551CC" w:rsidP="00384BA8">
            <w:pPr>
              <w:pStyle w:val="TableBody"/>
              <w:jc w:val="center"/>
              <w:rPr>
                <w:sz w:val="24"/>
                <w:szCs w:val="24"/>
              </w:rPr>
            </w:pPr>
            <w:r>
              <w:t>Cote d'Ivoire</w:t>
            </w:r>
          </w:p>
        </w:tc>
        <w:tc>
          <w:tcPr>
            <w:tcW w:w="2360" w:type="dxa"/>
            <w:tcBorders>
              <w:top w:val="nil"/>
              <w:left w:val="nil"/>
              <w:bottom w:val="nil"/>
              <w:right w:val="nil"/>
            </w:tcBorders>
            <w:shd w:val="clear" w:color="auto" w:fill="auto"/>
            <w:noWrap/>
            <w:vAlign w:val="center"/>
            <w:hideMark/>
          </w:tcPr>
          <w:p w14:paraId="6C3D5CCB" w14:textId="77777777" w:rsidR="008551CC" w:rsidRDefault="008551CC" w:rsidP="00384BA8">
            <w:pPr>
              <w:pStyle w:val="TableBody"/>
              <w:jc w:val="center"/>
              <w:rPr>
                <w:color w:val="FF0000"/>
              </w:rPr>
            </w:pPr>
            <w:r w:rsidRPr="007B374E">
              <w:rPr>
                <w:color w:val="000000" w:themeColor="text1"/>
              </w:rPr>
              <w:t>Yes</w:t>
            </w:r>
          </w:p>
        </w:tc>
      </w:tr>
      <w:tr w:rsidR="008551CC" w14:paraId="242CE6B3" w14:textId="77777777" w:rsidTr="00384BA8">
        <w:trPr>
          <w:trHeight w:val="320"/>
        </w:trPr>
        <w:tc>
          <w:tcPr>
            <w:tcW w:w="1720" w:type="dxa"/>
            <w:tcBorders>
              <w:top w:val="nil"/>
              <w:left w:val="nil"/>
              <w:bottom w:val="nil"/>
              <w:right w:val="nil"/>
            </w:tcBorders>
            <w:shd w:val="clear" w:color="auto" w:fill="auto"/>
            <w:noWrap/>
            <w:vAlign w:val="center"/>
            <w:hideMark/>
          </w:tcPr>
          <w:p w14:paraId="5790C6DB" w14:textId="77777777" w:rsidR="008551CC" w:rsidRPr="00694A2B" w:rsidRDefault="008551CC" w:rsidP="00384BA8">
            <w:pPr>
              <w:pStyle w:val="TableBody"/>
              <w:jc w:val="center"/>
              <w:rPr>
                <w:b/>
                <w:color w:val="FF0000"/>
              </w:rPr>
            </w:pPr>
            <w:r w:rsidRPr="009F1733">
              <w:t>EUR</w:t>
            </w:r>
          </w:p>
        </w:tc>
        <w:tc>
          <w:tcPr>
            <w:tcW w:w="2380" w:type="dxa"/>
            <w:tcBorders>
              <w:top w:val="nil"/>
              <w:left w:val="nil"/>
              <w:bottom w:val="nil"/>
              <w:right w:val="nil"/>
            </w:tcBorders>
            <w:shd w:val="clear" w:color="auto" w:fill="auto"/>
            <w:noWrap/>
            <w:vAlign w:val="center"/>
            <w:hideMark/>
          </w:tcPr>
          <w:p w14:paraId="6829A11D" w14:textId="77777777" w:rsidR="008551CC" w:rsidRDefault="008551CC" w:rsidP="00384BA8">
            <w:pPr>
              <w:pStyle w:val="TableBody"/>
              <w:jc w:val="center"/>
              <w:rPr>
                <w:sz w:val="24"/>
                <w:szCs w:val="24"/>
              </w:rPr>
            </w:pPr>
            <w:r>
              <w:t>DR Congo</w:t>
            </w:r>
          </w:p>
        </w:tc>
        <w:tc>
          <w:tcPr>
            <w:tcW w:w="2360" w:type="dxa"/>
            <w:tcBorders>
              <w:top w:val="nil"/>
              <w:left w:val="nil"/>
              <w:bottom w:val="nil"/>
              <w:right w:val="nil"/>
            </w:tcBorders>
            <w:shd w:val="clear" w:color="auto" w:fill="auto"/>
            <w:noWrap/>
            <w:vAlign w:val="center"/>
            <w:hideMark/>
          </w:tcPr>
          <w:p w14:paraId="2016C269" w14:textId="77777777" w:rsidR="008551CC" w:rsidRDefault="008551CC" w:rsidP="00384BA8">
            <w:pPr>
              <w:pStyle w:val="TableBody"/>
              <w:jc w:val="center"/>
              <w:rPr>
                <w:color w:val="FF0000"/>
              </w:rPr>
            </w:pPr>
            <w:r w:rsidRPr="007B374E">
              <w:rPr>
                <w:color w:val="000000" w:themeColor="text1"/>
              </w:rPr>
              <w:t>No</w:t>
            </w:r>
          </w:p>
        </w:tc>
      </w:tr>
      <w:tr w:rsidR="008551CC" w14:paraId="23DD331E" w14:textId="77777777" w:rsidTr="00384BA8">
        <w:trPr>
          <w:trHeight w:val="320"/>
        </w:trPr>
        <w:tc>
          <w:tcPr>
            <w:tcW w:w="1720" w:type="dxa"/>
            <w:tcBorders>
              <w:top w:val="nil"/>
              <w:left w:val="nil"/>
              <w:bottom w:val="nil"/>
              <w:right w:val="nil"/>
            </w:tcBorders>
            <w:shd w:val="clear" w:color="auto" w:fill="auto"/>
            <w:noWrap/>
            <w:vAlign w:val="center"/>
            <w:hideMark/>
          </w:tcPr>
          <w:p w14:paraId="699B2F7A" w14:textId="77777777" w:rsidR="008551CC" w:rsidRPr="00694A2B" w:rsidRDefault="008551CC" w:rsidP="00384BA8">
            <w:pPr>
              <w:pStyle w:val="TableBody"/>
              <w:jc w:val="center"/>
              <w:rPr>
                <w:b/>
                <w:color w:val="FF0000"/>
              </w:rPr>
            </w:pPr>
            <w:r w:rsidRPr="009F1733">
              <w:t>EUR</w:t>
            </w:r>
          </w:p>
        </w:tc>
        <w:tc>
          <w:tcPr>
            <w:tcW w:w="2380" w:type="dxa"/>
            <w:tcBorders>
              <w:top w:val="nil"/>
              <w:left w:val="nil"/>
              <w:bottom w:val="nil"/>
              <w:right w:val="nil"/>
            </w:tcBorders>
            <w:shd w:val="clear" w:color="auto" w:fill="auto"/>
            <w:noWrap/>
            <w:vAlign w:val="center"/>
            <w:hideMark/>
          </w:tcPr>
          <w:p w14:paraId="01793BFB" w14:textId="77777777" w:rsidR="008551CC" w:rsidRDefault="008551CC" w:rsidP="00384BA8">
            <w:pPr>
              <w:pStyle w:val="TableBody"/>
              <w:jc w:val="center"/>
              <w:rPr>
                <w:sz w:val="24"/>
                <w:szCs w:val="24"/>
              </w:rPr>
            </w:pPr>
            <w:r>
              <w:t>Bosnia (II)</w:t>
            </w:r>
          </w:p>
        </w:tc>
        <w:tc>
          <w:tcPr>
            <w:tcW w:w="2360" w:type="dxa"/>
            <w:tcBorders>
              <w:top w:val="nil"/>
              <w:left w:val="nil"/>
              <w:bottom w:val="nil"/>
              <w:right w:val="nil"/>
            </w:tcBorders>
            <w:shd w:val="clear" w:color="auto" w:fill="auto"/>
            <w:noWrap/>
            <w:vAlign w:val="center"/>
            <w:hideMark/>
          </w:tcPr>
          <w:p w14:paraId="22FECBCD" w14:textId="77777777" w:rsidR="008551CC" w:rsidRDefault="008551CC" w:rsidP="00384BA8">
            <w:pPr>
              <w:pStyle w:val="TableBody"/>
              <w:jc w:val="center"/>
            </w:pPr>
            <w:r w:rsidRPr="007B374E">
              <w:t>Yes</w:t>
            </w:r>
          </w:p>
        </w:tc>
      </w:tr>
      <w:tr w:rsidR="008551CC" w14:paraId="10CB5E5E" w14:textId="77777777" w:rsidTr="00384BA8">
        <w:trPr>
          <w:trHeight w:val="320"/>
        </w:trPr>
        <w:tc>
          <w:tcPr>
            <w:tcW w:w="1720" w:type="dxa"/>
            <w:tcBorders>
              <w:top w:val="nil"/>
              <w:left w:val="nil"/>
              <w:bottom w:val="nil"/>
              <w:right w:val="nil"/>
            </w:tcBorders>
            <w:shd w:val="clear" w:color="auto" w:fill="auto"/>
            <w:noWrap/>
            <w:vAlign w:val="center"/>
            <w:hideMark/>
          </w:tcPr>
          <w:p w14:paraId="77FEDB5A" w14:textId="77777777" w:rsidR="008551CC" w:rsidRPr="00694A2B" w:rsidRDefault="008551CC" w:rsidP="00384BA8">
            <w:pPr>
              <w:pStyle w:val="TableBody"/>
              <w:jc w:val="center"/>
              <w:rPr>
                <w:b/>
              </w:rPr>
            </w:pPr>
            <w:r w:rsidRPr="006A1061">
              <w:t>AFR</w:t>
            </w:r>
          </w:p>
        </w:tc>
        <w:tc>
          <w:tcPr>
            <w:tcW w:w="2380" w:type="dxa"/>
            <w:tcBorders>
              <w:top w:val="nil"/>
              <w:left w:val="nil"/>
              <w:bottom w:val="nil"/>
              <w:right w:val="nil"/>
            </w:tcBorders>
            <w:shd w:val="clear" w:color="auto" w:fill="auto"/>
            <w:noWrap/>
            <w:vAlign w:val="center"/>
            <w:hideMark/>
          </w:tcPr>
          <w:p w14:paraId="0731FEE7" w14:textId="77777777" w:rsidR="008551CC" w:rsidRDefault="008551CC" w:rsidP="00384BA8">
            <w:pPr>
              <w:pStyle w:val="TableBody"/>
              <w:jc w:val="center"/>
            </w:pPr>
            <w:r>
              <w:t>Burundi</w:t>
            </w:r>
          </w:p>
        </w:tc>
        <w:tc>
          <w:tcPr>
            <w:tcW w:w="2360" w:type="dxa"/>
            <w:tcBorders>
              <w:top w:val="nil"/>
              <w:left w:val="nil"/>
              <w:bottom w:val="nil"/>
              <w:right w:val="nil"/>
            </w:tcBorders>
            <w:shd w:val="clear" w:color="auto" w:fill="auto"/>
            <w:noWrap/>
            <w:vAlign w:val="center"/>
            <w:hideMark/>
          </w:tcPr>
          <w:p w14:paraId="240C8EB4" w14:textId="77777777" w:rsidR="008551CC" w:rsidRDefault="008551CC" w:rsidP="00384BA8">
            <w:pPr>
              <w:pStyle w:val="TableBody"/>
              <w:jc w:val="center"/>
              <w:rPr>
                <w:color w:val="FF0000"/>
              </w:rPr>
            </w:pPr>
            <w:r w:rsidRPr="007B374E">
              <w:rPr>
                <w:color w:val="000000" w:themeColor="text1"/>
              </w:rPr>
              <w:t>Yes</w:t>
            </w:r>
          </w:p>
        </w:tc>
      </w:tr>
      <w:tr w:rsidR="008551CC" w14:paraId="3981F85D" w14:textId="77777777" w:rsidTr="00384BA8">
        <w:trPr>
          <w:trHeight w:val="320"/>
        </w:trPr>
        <w:tc>
          <w:tcPr>
            <w:tcW w:w="1720" w:type="dxa"/>
            <w:tcBorders>
              <w:top w:val="nil"/>
              <w:left w:val="nil"/>
              <w:bottom w:val="nil"/>
              <w:right w:val="nil"/>
            </w:tcBorders>
            <w:shd w:val="clear" w:color="auto" w:fill="auto"/>
            <w:noWrap/>
            <w:vAlign w:val="center"/>
            <w:hideMark/>
          </w:tcPr>
          <w:p w14:paraId="64F000DB" w14:textId="77777777" w:rsidR="008551CC" w:rsidRDefault="008551CC" w:rsidP="00384BA8">
            <w:pPr>
              <w:pStyle w:val="TableBody"/>
              <w:jc w:val="center"/>
              <w:rPr>
                <w:color w:val="FF0000"/>
              </w:rPr>
            </w:pPr>
            <w:r w:rsidRPr="00082BA5">
              <w:t>AFR</w:t>
            </w:r>
          </w:p>
        </w:tc>
        <w:tc>
          <w:tcPr>
            <w:tcW w:w="2380" w:type="dxa"/>
            <w:tcBorders>
              <w:top w:val="nil"/>
              <w:left w:val="nil"/>
              <w:bottom w:val="nil"/>
              <w:right w:val="nil"/>
            </w:tcBorders>
            <w:shd w:val="clear" w:color="auto" w:fill="auto"/>
            <w:noWrap/>
            <w:vAlign w:val="center"/>
            <w:hideMark/>
          </w:tcPr>
          <w:p w14:paraId="665DC10D" w14:textId="77777777" w:rsidR="008551CC" w:rsidRDefault="008551CC" w:rsidP="00384BA8">
            <w:pPr>
              <w:pStyle w:val="TableBody"/>
              <w:jc w:val="center"/>
              <w:rPr>
                <w:sz w:val="24"/>
                <w:szCs w:val="24"/>
              </w:rPr>
            </w:pPr>
            <w:r>
              <w:t>CAR</w:t>
            </w:r>
          </w:p>
        </w:tc>
        <w:tc>
          <w:tcPr>
            <w:tcW w:w="2360" w:type="dxa"/>
            <w:tcBorders>
              <w:top w:val="nil"/>
              <w:left w:val="nil"/>
              <w:bottom w:val="nil"/>
              <w:right w:val="nil"/>
            </w:tcBorders>
            <w:shd w:val="clear" w:color="auto" w:fill="auto"/>
            <w:noWrap/>
            <w:vAlign w:val="center"/>
            <w:hideMark/>
          </w:tcPr>
          <w:p w14:paraId="35C3F45A" w14:textId="77777777" w:rsidR="008551CC" w:rsidRDefault="008551CC" w:rsidP="00384BA8">
            <w:pPr>
              <w:pStyle w:val="TableBody"/>
              <w:jc w:val="center"/>
              <w:rPr>
                <w:color w:val="FF0000"/>
              </w:rPr>
            </w:pPr>
            <w:r w:rsidRPr="007B374E">
              <w:rPr>
                <w:color w:val="000000" w:themeColor="text1"/>
              </w:rPr>
              <w:t>No</w:t>
            </w:r>
          </w:p>
        </w:tc>
      </w:tr>
      <w:tr w:rsidR="008551CC" w14:paraId="0CA691D9" w14:textId="77777777" w:rsidTr="00384BA8">
        <w:trPr>
          <w:trHeight w:val="320"/>
        </w:trPr>
        <w:tc>
          <w:tcPr>
            <w:tcW w:w="1720" w:type="dxa"/>
            <w:tcBorders>
              <w:top w:val="nil"/>
              <w:left w:val="nil"/>
              <w:bottom w:val="nil"/>
              <w:right w:val="nil"/>
            </w:tcBorders>
            <w:shd w:val="clear" w:color="auto" w:fill="auto"/>
            <w:noWrap/>
            <w:vAlign w:val="center"/>
            <w:hideMark/>
          </w:tcPr>
          <w:p w14:paraId="4A21CF31" w14:textId="77777777" w:rsidR="008551CC" w:rsidRDefault="008551CC" w:rsidP="00384BA8">
            <w:pPr>
              <w:pStyle w:val="TableBody"/>
              <w:jc w:val="center"/>
              <w:rPr>
                <w:color w:val="FF0000"/>
              </w:rPr>
            </w:pPr>
            <w:r w:rsidRPr="00082BA5">
              <w:t>AFR</w:t>
            </w:r>
          </w:p>
        </w:tc>
        <w:tc>
          <w:tcPr>
            <w:tcW w:w="2380" w:type="dxa"/>
            <w:tcBorders>
              <w:top w:val="nil"/>
              <w:left w:val="nil"/>
              <w:bottom w:val="nil"/>
              <w:right w:val="nil"/>
            </w:tcBorders>
            <w:shd w:val="clear" w:color="auto" w:fill="auto"/>
            <w:noWrap/>
            <w:vAlign w:val="center"/>
            <w:hideMark/>
          </w:tcPr>
          <w:p w14:paraId="0E16689D" w14:textId="77777777" w:rsidR="008551CC" w:rsidRDefault="008551CC" w:rsidP="00384BA8">
            <w:pPr>
              <w:pStyle w:val="TableBody"/>
              <w:jc w:val="center"/>
              <w:rPr>
                <w:sz w:val="24"/>
                <w:szCs w:val="24"/>
              </w:rPr>
            </w:pPr>
            <w:r>
              <w:t>Darfur/Sudan</w:t>
            </w:r>
          </w:p>
        </w:tc>
        <w:tc>
          <w:tcPr>
            <w:tcW w:w="2360" w:type="dxa"/>
            <w:tcBorders>
              <w:top w:val="nil"/>
              <w:left w:val="nil"/>
              <w:bottom w:val="nil"/>
              <w:right w:val="nil"/>
            </w:tcBorders>
            <w:shd w:val="clear" w:color="auto" w:fill="auto"/>
            <w:noWrap/>
            <w:vAlign w:val="center"/>
            <w:hideMark/>
          </w:tcPr>
          <w:p w14:paraId="0CB81266" w14:textId="77777777" w:rsidR="008551CC" w:rsidRDefault="008551CC" w:rsidP="00384BA8">
            <w:pPr>
              <w:pStyle w:val="TableBody"/>
              <w:jc w:val="center"/>
            </w:pPr>
            <w:r w:rsidRPr="007B374E">
              <w:t>No</w:t>
            </w:r>
          </w:p>
        </w:tc>
      </w:tr>
      <w:tr w:rsidR="008551CC" w14:paraId="3247E473" w14:textId="77777777" w:rsidTr="00384BA8">
        <w:trPr>
          <w:trHeight w:val="320"/>
        </w:trPr>
        <w:tc>
          <w:tcPr>
            <w:tcW w:w="1720" w:type="dxa"/>
            <w:tcBorders>
              <w:top w:val="nil"/>
              <w:left w:val="nil"/>
              <w:right w:val="nil"/>
            </w:tcBorders>
            <w:shd w:val="clear" w:color="auto" w:fill="auto"/>
            <w:noWrap/>
            <w:vAlign w:val="center"/>
            <w:hideMark/>
          </w:tcPr>
          <w:p w14:paraId="6D35ED8C" w14:textId="77777777" w:rsidR="008551CC" w:rsidRDefault="008551CC" w:rsidP="00384BA8">
            <w:pPr>
              <w:pStyle w:val="TableBody"/>
              <w:jc w:val="center"/>
            </w:pPr>
            <w:r w:rsidRPr="00082BA5">
              <w:t>AFR</w:t>
            </w:r>
          </w:p>
        </w:tc>
        <w:tc>
          <w:tcPr>
            <w:tcW w:w="2380" w:type="dxa"/>
            <w:tcBorders>
              <w:top w:val="nil"/>
              <w:left w:val="nil"/>
              <w:right w:val="nil"/>
            </w:tcBorders>
            <w:shd w:val="clear" w:color="auto" w:fill="auto"/>
            <w:noWrap/>
            <w:vAlign w:val="center"/>
            <w:hideMark/>
          </w:tcPr>
          <w:p w14:paraId="48E70B25" w14:textId="77777777" w:rsidR="008551CC" w:rsidRDefault="008551CC" w:rsidP="00384BA8">
            <w:pPr>
              <w:pStyle w:val="TableBody"/>
              <w:jc w:val="center"/>
              <w:rPr>
                <w:sz w:val="24"/>
                <w:szCs w:val="24"/>
              </w:rPr>
            </w:pPr>
            <w:r>
              <w:t>Comoros</w:t>
            </w:r>
          </w:p>
        </w:tc>
        <w:tc>
          <w:tcPr>
            <w:tcW w:w="2360" w:type="dxa"/>
            <w:tcBorders>
              <w:top w:val="nil"/>
              <w:left w:val="nil"/>
              <w:right w:val="nil"/>
            </w:tcBorders>
            <w:shd w:val="clear" w:color="auto" w:fill="auto"/>
            <w:noWrap/>
            <w:vAlign w:val="center"/>
            <w:hideMark/>
          </w:tcPr>
          <w:p w14:paraId="62A36ADF" w14:textId="77777777" w:rsidR="008551CC" w:rsidRDefault="008551CC" w:rsidP="00384BA8">
            <w:pPr>
              <w:pStyle w:val="TableBody"/>
              <w:jc w:val="center"/>
            </w:pPr>
            <w:r w:rsidRPr="007B374E">
              <w:t>Yes</w:t>
            </w:r>
          </w:p>
        </w:tc>
      </w:tr>
      <w:tr w:rsidR="008551CC" w14:paraId="005BAB6F" w14:textId="77777777" w:rsidTr="00384BA8">
        <w:trPr>
          <w:trHeight w:val="320"/>
        </w:trPr>
        <w:tc>
          <w:tcPr>
            <w:tcW w:w="1720" w:type="dxa"/>
            <w:tcBorders>
              <w:top w:val="nil"/>
              <w:left w:val="nil"/>
              <w:bottom w:val="single" w:sz="18" w:space="0" w:color="auto"/>
              <w:right w:val="nil"/>
            </w:tcBorders>
            <w:shd w:val="clear" w:color="auto" w:fill="auto"/>
            <w:noWrap/>
            <w:vAlign w:val="center"/>
            <w:hideMark/>
          </w:tcPr>
          <w:p w14:paraId="0B13D7C9" w14:textId="77777777" w:rsidR="008551CC" w:rsidRDefault="008551CC" w:rsidP="00384BA8">
            <w:pPr>
              <w:pStyle w:val="TableBody"/>
              <w:jc w:val="center"/>
            </w:pPr>
            <w:r w:rsidRPr="00082BA5">
              <w:t>AFR</w:t>
            </w:r>
          </w:p>
        </w:tc>
        <w:tc>
          <w:tcPr>
            <w:tcW w:w="2380" w:type="dxa"/>
            <w:tcBorders>
              <w:top w:val="nil"/>
              <w:left w:val="nil"/>
              <w:bottom w:val="single" w:sz="18" w:space="0" w:color="auto"/>
              <w:right w:val="nil"/>
            </w:tcBorders>
            <w:shd w:val="clear" w:color="auto" w:fill="auto"/>
            <w:noWrap/>
            <w:vAlign w:val="center"/>
            <w:hideMark/>
          </w:tcPr>
          <w:p w14:paraId="134A02DA" w14:textId="77777777" w:rsidR="008551CC" w:rsidRDefault="008551CC" w:rsidP="00384BA8">
            <w:pPr>
              <w:pStyle w:val="TableBody"/>
              <w:jc w:val="center"/>
              <w:rPr>
                <w:sz w:val="24"/>
                <w:szCs w:val="24"/>
              </w:rPr>
            </w:pPr>
            <w:r>
              <w:t>Somalia (II)</w:t>
            </w:r>
          </w:p>
        </w:tc>
        <w:tc>
          <w:tcPr>
            <w:tcW w:w="2360" w:type="dxa"/>
            <w:tcBorders>
              <w:top w:val="nil"/>
              <w:left w:val="nil"/>
              <w:bottom w:val="single" w:sz="18" w:space="0" w:color="auto"/>
              <w:right w:val="nil"/>
            </w:tcBorders>
            <w:shd w:val="clear" w:color="auto" w:fill="auto"/>
            <w:noWrap/>
            <w:vAlign w:val="center"/>
            <w:hideMark/>
          </w:tcPr>
          <w:p w14:paraId="195C2DF4" w14:textId="77777777" w:rsidR="008551CC" w:rsidRDefault="008551CC" w:rsidP="00384BA8">
            <w:pPr>
              <w:pStyle w:val="TableBody"/>
              <w:jc w:val="center"/>
            </w:pPr>
            <w:r w:rsidRPr="007B374E">
              <w:t>No</w:t>
            </w:r>
          </w:p>
        </w:tc>
      </w:tr>
    </w:tbl>
    <w:p w14:paraId="57CC60DE" w14:textId="77777777" w:rsidR="008551CC" w:rsidRDefault="008551CC" w:rsidP="008551CC"/>
    <w:p w14:paraId="56AD108C" w14:textId="77777777" w:rsidR="008551CC" w:rsidRDefault="008551CC" w:rsidP="008551CC">
      <w:pPr>
        <w:pStyle w:val="TableNote"/>
      </w:pPr>
      <w:r w:rsidRPr="006A1061">
        <w:rPr>
          <w:color w:val="000000" w:themeColor="text1"/>
        </w:rPr>
        <w:t>NOTES:</w:t>
      </w:r>
      <w:r>
        <w:rPr>
          <w:color w:val="000000" w:themeColor="text1"/>
        </w:rPr>
        <w:t xml:space="preserve"> (1) The Lake Chad Basin case has been excluded from this table because scores for multiple countries could not be aggregated in a meaningful way. (2) As of the end of 2017, intra-state conflict remained active in six of the countries contained in this table: Afghanistan, CAR, Darfur/Sudan, DRC, Iraq, and Somalia. Additionally, although the Lake Chad Basin case does not appear in this table, armed conflict by and against Boko Haram continues here. </w:t>
      </w:r>
      <w:proofErr w:type="gramStart"/>
      <w:r>
        <w:rPr>
          <w:color w:val="000000" w:themeColor="text1"/>
        </w:rPr>
        <w:t>By definition, these</w:t>
      </w:r>
      <w:proofErr w:type="gramEnd"/>
      <w:r>
        <w:rPr>
          <w:color w:val="000000" w:themeColor="text1"/>
        </w:rPr>
        <w:t xml:space="preserve"> countries have not experienced sustained peace.  Additionally, it should be noted that two countries (Burundi and Haiti) are also at peace at the time of this writing, but they experienced brief returns to violence after the departures of U.S.-led and African-led peacekeeping missions in 1996 and 2004, respectively.  </w:t>
      </w:r>
    </w:p>
    <w:p w14:paraId="4860A24D" w14:textId="77777777" w:rsidR="008551CC" w:rsidRDefault="008551CC" w:rsidP="008551CC">
      <w:pPr>
        <w:pStyle w:val="TableNote"/>
      </w:pPr>
    </w:p>
    <w:p w14:paraId="3E3F3CD7" w14:textId="77777777" w:rsidR="008551CC" w:rsidRDefault="008551CC" w:rsidP="008551CC">
      <w:pPr>
        <w:pStyle w:val="TableNote"/>
      </w:pPr>
      <w:r>
        <w:t>SOURCES: RAND, MG-722 (2008)</w:t>
      </w:r>
      <w:r w:rsidRPr="004F6665">
        <w:t>;</w:t>
      </w:r>
      <w:r>
        <w:t xml:space="preserve"> </w:t>
      </w:r>
      <w:r w:rsidRPr="007B374E">
        <w:rPr>
          <w:color w:val="000000" w:themeColor="text1"/>
        </w:rPr>
        <w:t xml:space="preserve">Monty G. Marshall, Ted Robert </w:t>
      </w:r>
      <w:proofErr w:type="spellStart"/>
      <w:r w:rsidRPr="007B374E">
        <w:rPr>
          <w:color w:val="000000" w:themeColor="text1"/>
        </w:rPr>
        <w:t>Gurr</w:t>
      </w:r>
      <w:proofErr w:type="spellEnd"/>
      <w:r w:rsidRPr="007B374E">
        <w:rPr>
          <w:color w:val="000000" w:themeColor="text1"/>
        </w:rPr>
        <w:t xml:space="preserve">, and Barbara Huff, “PITF-State Failure Problem Set: Internal Wars and Failures of Governance, 1955-2016 data set,” Center for Systemic Peace, revised June 21, 2017.  </w:t>
      </w:r>
    </w:p>
    <w:p w14:paraId="1B0DC7EB" w14:textId="77777777" w:rsidR="008551CC" w:rsidRPr="00502113" w:rsidRDefault="008551CC" w:rsidP="008551CC"/>
    <w:p w14:paraId="2EEABA51" w14:textId="47FB9C25" w:rsidR="00473EEA" w:rsidRDefault="00473EEA" w:rsidP="00473EEA">
      <w:pPr>
        <w:pStyle w:val="Heading9"/>
      </w:pPr>
      <w:bookmarkStart w:id="6" w:name="_Toc517797006"/>
      <w:bookmarkStart w:id="7" w:name="_Toc519899853"/>
      <w:bookmarkStart w:id="8" w:name="_Toc3107560"/>
      <w:r>
        <w:lastRenderedPageBreak/>
        <w:t xml:space="preserve">Level of </w:t>
      </w:r>
      <w:r w:rsidRPr="00B00D9C">
        <w:t>Freedom</w:t>
      </w:r>
      <w:bookmarkEnd w:id="6"/>
      <w:bookmarkEnd w:id="7"/>
      <w:r>
        <w:t xml:space="preserve"> (2018)</w:t>
      </w:r>
      <w:bookmarkEnd w:id="8"/>
    </w:p>
    <w:tbl>
      <w:tblPr>
        <w:tblW w:w="9630" w:type="dxa"/>
        <w:tblInd w:w="90" w:type="dxa"/>
        <w:tblLayout w:type="fixed"/>
        <w:tblLook w:val="04A0" w:firstRow="1" w:lastRow="0" w:firstColumn="1" w:lastColumn="0" w:noHBand="0" w:noVBand="1"/>
      </w:tblPr>
      <w:tblGrid>
        <w:gridCol w:w="1260"/>
        <w:gridCol w:w="1710"/>
        <w:gridCol w:w="1360"/>
        <w:gridCol w:w="1350"/>
        <w:gridCol w:w="1279"/>
        <w:gridCol w:w="1321"/>
        <w:gridCol w:w="1321"/>
        <w:gridCol w:w="29"/>
      </w:tblGrid>
      <w:tr w:rsidR="00473EEA" w14:paraId="0D8158AD" w14:textId="77777777" w:rsidTr="00384BA8">
        <w:trPr>
          <w:gridAfter w:val="1"/>
          <w:wAfter w:w="29" w:type="dxa"/>
          <w:trHeight w:val="1026"/>
        </w:trPr>
        <w:tc>
          <w:tcPr>
            <w:tcW w:w="1260" w:type="dxa"/>
            <w:tcBorders>
              <w:top w:val="single" w:sz="18" w:space="0" w:color="auto"/>
              <w:left w:val="nil"/>
              <w:bottom w:val="single" w:sz="18" w:space="0" w:color="auto"/>
              <w:right w:val="nil"/>
            </w:tcBorders>
            <w:shd w:val="clear" w:color="auto" w:fill="auto"/>
            <w:noWrap/>
            <w:vAlign w:val="center"/>
            <w:hideMark/>
          </w:tcPr>
          <w:p w14:paraId="7DFA7FFA" w14:textId="77777777" w:rsidR="00473EEA" w:rsidRPr="004F6665" w:rsidRDefault="00473EEA" w:rsidP="00384BA8">
            <w:pPr>
              <w:pStyle w:val="TableBody"/>
              <w:rPr>
                <w:b/>
                <w:sz w:val="24"/>
                <w:szCs w:val="24"/>
              </w:rPr>
            </w:pPr>
            <w:r>
              <w:rPr>
                <w:b/>
                <w:szCs w:val="18"/>
              </w:rPr>
              <w:t>Operation</w:t>
            </w:r>
          </w:p>
        </w:tc>
        <w:tc>
          <w:tcPr>
            <w:tcW w:w="1710" w:type="dxa"/>
            <w:tcBorders>
              <w:top w:val="single" w:sz="18" w:space="0" w:color="auto"/>
              <w:left w:val="nil"/>
              <w:bottom w:val="single" w:sz="18" w:space="0" w:color="auto"/>
              <w:right w:val="nil"/>
            </w:tcBorders>
            <w:shd w:val="clear" w:color="auto" w:fill="auto"/>
            <w:noWrap/>
            <w:vAlign w:val="center"/>
            <w:hideMark/>
          </w:tcPr>
          <w:p w14:paraId="0E0C8FC3" w14:textId="77777777" w:rsidR="00473EEA" w:rsidRPr="004F6665" w:rsidRDefault="00473EEA" w:rsidP="00384BA8">
            <w:pPr>
              <w:pStyle w:val="TableBody"/>
              <w:jc w:val="center"/>
              <w:rPr>
                <w:b/>
              </w:rPr>
            </w:pPr>
            <w:r w:rsidRPr="004F6665">
              <w:rPr>
                <w:b/>
              </w:rPr>
              <w:t>Country</w:t>
            </w:r>
          </w:p>
        </w:tc>
        <w:tc>
          <w:tcPr>
            <w:tcW w:w="1360" w:type="dxa"/>
            <w:tcBorders>
              <w:top w:val="single" w:sz="18" w:space="0" w:color="auto"/>
              <w:left w:val="nil"/>
              <w:bottom w:val="single" w:sz="18" w:space="0" w:color="auto"/>
              <w:right w:val="nil"/>
            </w:tcBorders>
            <w:shd w:val="clear" w:color="auto" w:fill="auto"/>
            <w:noWrap/>
            <w:vAlign w:val="center"/>
            <w:hideMark/>
          </w:tcPr>
          <w:p w14:paraId="12F3DBB9" w14:textId="77777777" w:rsidR="00473EEA" w:rsidRPr="004F6665" w:rsidRDefault="00473EEA" w:rsidP="00384BA8">
            <w:pPr>
              <w:pStyle w:val="TableBody"/>
              <w:jc w:val="center"/>
              <w:rPr>
                <w:b/>
              </w:rPr>
            </w:pPr>
            <w:r>
              <w:rPr>
                <w:b/>
              </w:rPr>
              <w:t>First Year of Intervention</w:t>
            </w:r>
          </w:p>
        </w:tc>
        <w:tc>
          <w:tcPr>
            <w:tcW w:w="1350" w:type="dxa"/>
            <w:tcBorders>
              <w:top w:val="single" w:sz="18" w:space="0" w:color="auto"/>
              <w:left w:val="nil"/>
              <w:bottom w:val="single" w:sz="18" w:space="0" w:color="auto"/>
              <w:right w:val="nil"/>
            </w:tcBorders>
            <w:vAlign w:val="center"/>
          </w:tcPr>
          <w:p w14:paraId="3040FE4E" w14:textId="77777777" w:rsidR="00473EEA" w:rsidRDefault="00473EEA" w:rsidP="00384BA8">
            <w:pPr>
              <w:pStyle w:val="TableBody"/>
              <w:ind w:right="-100"/>
              <w:jc w:val="center"/>
              <w:rPr>
                <w:b/>
              </w:rPr>
            </w:pPr>
            <w:r>
              <w:rPr>
                <w:b/>
              </w:rPr>
              <w:t>Freedom</w:t>
            </w:r>
          </w:p>
          <w:p w14:paraId="4868D5B8" w14:textId="77777777" w:rsidR="00473EEA" w:rsidRDefault="00473EEA" w:rsidP="00384BA8">
            <w:pPr>
              <w:pStyle w:val="TableBody"/>
              <w:ind w:right="-100"/>
              <w:jc w:val="center"/>
              <w:rPr>
                <w:b/>
              </w:rPr>
            </w:pPr>
            <w:r>
              <w:rPr>
                <w:b/>
              </w:rPr>
              <w:t>Rating</w:t>
            </w:r>
          </w:p>
          <w:p w14:paraId="78DBD672" w14:textId="77777777" w:rsidR="00473EEA" w:rsidRDefault="00473EEA" w:rsidP="00384BA8">
            <w:pPr>
              <w:pStyle w:val="TableBody"/>
              <w:ind w:right="-100"/>
              <w:jc w:val="center"/>
              <w:rPr>
                <w:b/>
              </w:rPr>
            </w:pPr>
            <w:r>
              <w:rPr>
                <w:b/>
              </w:rPr>
              <w:t>(2018)</w:t>
            </w:r>
          </w:p>
        </w:tc>
        <w:tc>
          <w:tcPr>
            <w:tcW w:w="1279" w:type="dxa"/>
            <w:tcBorders>
              <w:top w:val="single" w:sz="18" w:space="0" w:color="auto"/>
              <w:left w:val="nil"/>
              <w:bottom w:val="single" w:sz="18" w:space="0" w:color="auto"/>
              <w:right w:val="nil"/>
            </w:tcBorders>
            <w:vAlign w:val="center"/>
          </w:tcPr>
          <w:p w14:paraId="24BED51E" w14:textId="77777777" w:rsidR="00473EEA" w:rsidRDefault="00473EEA" w:rsidP="00384BA8">
            <w:pPr>
              <w:pStyle w:val="TableBody"/>
              <w:ind w:right="-100"/>
              <w:jc w:val="center"/>
              <w:rPr>
                <w:b/>
              </w:rPr>
            </w:pPr>
            <w:r>
              <w:rPr>
                <w:b/>
              </w:rPr>
              <w:t xml:space="preserve">Freedom </w:t>
            </w:r>
          </w:p>
          <w:p w14:paraId="4802A38F" w14:textId="77777777" w:rsidR="00473EEA" w:rsidRDefault="00473EEA" w:rsidP="00384BA8">
            <w:pPr>
              <w:pStyle w:val="TableBody"/>
              <w:ind w:right="-100"/>
              <w:jc w:val="center"/>
              <w:rPr>
                <w:b/>
              </w:rPr>
            </w:pPr>
            <w:r>
              <w:rPr>
                <w:b/>
              </w:rPr>
              <w:t>House Score</w:t>
            </w:r>
          </w:p>
          <w:p w14:paraId="28497F9D" w14:textId="77777777" w:rsidR="00473EEA" w:rsidRPr="004F6665" w:rsidRDefault="00473EEA" w:rsidP="00384BA8">
            <w:pPr>
              <w:pStyle w:val="TableBody"/>
              <w:ind w:right="-100"/>
              <w:jc w:val="center"/>
              <w:rPr>
                <w:b/>
              </w:rPr>
            </w:pPr>
            <w:r>
              <w:rPr>
                <w:b/>
              </w:rPr>
              <w:t>(2018)</w:t>
            </w:r>
          </w:p>
        </w:tc>
        <w:tc>
          <w:tcPr>
            <w:tcW w:w="1321" w:type="dxa"/>
            <w:tcBorders>
              <w:top w:val="single" w:sz="18" w:space="0" w:color="auto"/>
              <w:left w:val="nil"/>
              <w:bottom w:val="single" w:sz="18" w:space="0" w:color="auto"/>
              <w:right w:val="nil"/>
            </w:tcBorders>
            <w:vAlign w:val="center"/>
          </w:tcPr>
          <w:p w14:paraId="26B17BA2" w14:textId="77777777" w:rsidR="00473EEA" w:rsidRPr="0084081D" w:rsidRDefault="00473EEA" w:rsidP="00384BA8">
            <w:pPr>
              <w:pStyle w:val="TableBody"/>
              <w:jc w:val="center"/>
              <w:rPr>
                <w:b/>
                <w:color w:val="000000" w:themeColor="text1"/>
              </w:rPr>
            </w:pPr>
            <w:r w:rsidRPr="0084081D">
              <w:rPr>
                <w:b/>
                <w:color w:val="000000" w:themeColor="text1"/>
              </w:rPr>
              <w:t>Freedom House Score (</w:t>
            </w:r>
            <w:proofErr w:type="spellStart"/>
            <w:r w:rsidRPr="0084081D">
              <w:rPr>
                <w:b/>
                <w:color w:val="000000" w:themeColor="text1"/>
              </w:rPr>
              <w:t>Yr</w:t>
            </w:r>
            <w:proofErr w:type="spellEnd"/>
            <w:r w:rsidRPr="0084081D">
              <w:rPr>
                <w:b/>
                <w:color w:val="000000" w:themeColor="text1"/>
              </w:rPr>
              <w:t xml:space="preserve"> 1, or earliest available</w:t>
            </w:r>
            <w:r>
              <w:rPr>
                <w:b/>
                <w:color w:val="000000" w:themeColor="text1"/>
              </w:rPr>
              <w:t xml:space="preserve"> </w:t>
            </w:r>
            <w:r w:rsidRPr="00972423">
              <w:rPr>
                <w:b/>
                <w:i/>
                <w:color w:val="000000" w:themeColor="text1"/>
              </w:rPr>
              <w:t>in italics</w:t>
            </w:r>
            <w:r w:rsidRPr="0084081D">
              <w:rPr>
                <w:b/>
                <w:color w:val="000000" w:themeColor="text1"/>
              </w:rPr>
              <w:t>)</w:t>
            </w:r>
          </w:p>
        </w:tc>
        <w:tc>
          <w:tcPr>
            <w:tcW w:w="1321" w:type="dxa"/>
            <w:tcBorders>
              <w:top w:val="single" w:sz="18" w:space="0" w:color="auto"/>
              <w:left w:val="nil"/>
              <w:bottom w:val="single" w:sz="18" w:space="0" w:color="auto"/>
              <w:right w:val="nil"/>
            </w:tcBorders>
            <w:vAlign w:val="center"/>
          </w:tcPr>
          <w:p w14:paraId="01E0C847" w14:textId="77777777" w:rsidR="00473EEA" w:rsidRPr="0084081D" w:rsidRDefault="00473EEA" w:rsidP="00384BA8">
            <w:pPr>
              <w:pStyle w:val="TableBody"/>
              <w:jc w:val="center"/>
              <w:rPr>
                <w:b/>
                <w:color w:val="000000" w:themeColor="text1"/>
              </w:rPr>
            </w:pPr>
            <w:r w:rsidRPr="0084081D">
              <w:rPr>
                <w:b/>
                <w:color w:val="000000" w:themeColor="text1"/>
              </w:rPr>
              <w:t>Change in Freedom House Score</w:t>
            </w:r>
          </w:p>
          <w:p w14:paraId="276FF7C7" w14:textId="77777777" w:rsidR="00473EEA" w:rsidRPr="0084081D" w:rsidRDefault="00473EEA" w:rsidP="00384BA8">
            <w:pPr>
              <w:pStyle w:val="TableBody"/>
              <w:jc w:val="center"/>
              <w:rPr>
                <w:b/>
                <w:color w:val="000000" w:themeColor="text1"/>
              </w:rPr>
            </w:pPr>
            <w:r w:rsidRPr="0084081D">
              <w:rPr>
                <w:b/>
                <w:color w:val="000000" w:themeColor="text1"/>
              </w:rPr>
              <w:t>(</w:t>
            </w:r>
            <w:proofErr w:type="spellStart"/>
            <w:r w:rsidRPr="0084081D">
              <w:rPr>
                <w:b/>
                <w:color w:val="000000" w:themeColor="text1"/>
              </w:rPr>
              <w:t>Yr</w:t>
            </w:r>
            <w:proofErr w:type="spellEnd"/>
            <w:r w:rsidRPr="0084081D">
              <w:rPr>
                <w:b/>
                <w:color w:val="000000" w:themeColor="text1"/>
              </w:rPr>
              <w:t xml:space="preserve"> 1 - 2018)</w:t>
            </w:r>
          </w:p>
        </w:tc>
      </w:tr>
      <w:tr w:rsidR="00473EEA" w14:paraId="474AFFD4" w14:textId="77777777" w:rsidTr="00384BA8">
        <w:trPr>
          <w:gridAfter w:val="1"/>
          <w:wAfter w:w="29" w:type="dxa"/>
          <w:trHeight w:val="320"/>
        </w:trPr>
        <w:tc>
          <w:tcPr>
            <w:tcW w:w="1260" w:type="dxa"/>
            <w:tcBorders>
              <w:top w:val="single" w:sz="18" w:space="0" w:color="auto"/>
              <w:left w:val="nil"/>
              <w:bottom w:val="nil"/>
              <w:right w:val="nil"/>
            </w:tcBorders>
            <w:shd w:val="clear" w:color="auto" w:fill="auto"/>
            <w:noWrap/>
            <w:vAlign w:val="center"/>
            <w:hideMark/>
          </w:tcPr>
          <w:p w14:paraId="3633A4FD" w14:textId="77777777" w:rsidR="00473EEA" w:rsidRPr="006A1061" w:rsidRDefault="00473EEA" w:rsidP="00384BA8">
            <w:pPr>
              <w:pStyle w:val="TableBody"/>
            </w:pPr>
            <w:r w:rsidRPr="006A1061">
              <w:t>U.S.</w:t>
            </w:r>
          </w:p>
        </w:tc>
        <w:tc>
          <w:tcPr>
            <w:tcW w:w="1710" w:type="dxa"/>
            <w:tcBorders>
              <w:top w:val="single" w:sz="18" w:space="0" w:color="auto"/>
              <w:left w:val="nil"/>
              <w:bottom w:val="nil"/>
              <w:right w:val="nil"/>
            </w:tcBorders>
            <w:shd w:val="clear" w:color="auto" w:fill="auto"/>
            <w:noWrap/>
            <w:vAlign w:val="center"/>
            <w:hideMark/>
          </w:tcPr>
          <w:p w14:paraId="764D43F7" w14:textId="77777777" w:rsidR="00473EEA" w:rsidRDefault="00473EEA" w:rsidP="00384BA8">
            <w:pPr>
              <w:pStyle w:val="TableBody"/>
            </w:pPr>
            <w:r>
              <w:t>Germany</w:t>
            </w:r>
          </w:p>
        </w:tc>
        <w:tc>
          <w:tcPr>
            <w:tcW w:w="1360" w:type="dxa"/>
            <w:tcBorders>
              <w:top w:val="single" w:sz="18" w:space="0" w:color="auto"/>
              <w:left w:val="nil"/>
              <w:bottom w:val="nil"/>
              <w:right w:val="nil"/>
            </w:tcBorders>
            <w:shd w:val="clear" w:color="auto" w:fill="auto"/>
            <w:noWrap/>
            <w:vAlign w:val="center"/>
          </w:tcPr>
          <w:p w14:paraId="0D355491" w14:textId="77777777" w:rsidR="00473EEA" w:rsidRPr="00700C8B" w:rsidRDefault="00473EEA" w:rsidP="00384BA8">
            <w:pPr>
              <w:pStyle w:val="TableBody"/>
              <w:jc w:val="center"/>
              <w:rPr>
                <w:color w:val="000000" w:themeColor="text1"/>
              </w:rPr>
            </w:pPr>
            <w:r w:rsidRPr="00700C8B">
              <w:rPr>
                <w:color w:val="000000" w:themeColor="text1"/>
              </w:rPr>
              <w:t>1945</w:t>
            </w:r>
          </w:p>
        </w:tc>
        <w:tc>
          <w:tcPr>
            <w:tcW w:w="1350" w:type="dxa"/>
            <w:tcBorders>
              <w:top w:val="single" w:sz="18" w:space="0" w:color="auto"/>
              <w:left w:val="nil"/>
              <w:bottom w:val="nil"/>
              <w:right w:val="nil"/>
            </w:tcBorders>
            <w:vAlign w:val="center"/>
          </w:tcPr>
          <w:p w14:paraId="51F9FFA3" w14:textId="77777777" w:rsidR="00473EEA" w:rsidRDefault="00473EEA" w:rsidP="00384BA8">
            <w:pPr>
              <w:pStyle w:val="TableBody"/>
              <w:jc w:val="center"/>
            </w:pPr>
            <w:r>
              <w:t>Free</w:t>
            </w:r>
          </w:p>
        </w:tc>
        <w:tc>
          <w:tcPr>
            <w:tcW w:w="1279" w:type="dxa"/>
            <w:tcBorders>
              <w:top w:val="single" w:sz="18" w:space="0" w:color="auto"/>
              <w:left w:val="nil"/>
              <w:bottom w:val="nil"/>
              <w:right w:val="nil"/>
            </w:tcBorders>
            <w:vAlign w:val="center"/>
          </w:tcPr>
          <w:p w14:paraId="7ED0FC8F" w14:textId="77777777" w:rsidR="00473EEA" w:rsidRDefault="00473EEA" w:rsidP="00384BA8">
            <w:pPr>
              <w:pStyle w:val="TableBody"/>
              <w:jc w:val="center"/>
            </w:pPr>
            <w:r>
              <w:t>1</w:t>
            </w:r>
            <w:r>
              <w:rPr>
                <w:color w:val="000000" w:themeColor="text1"/>
              </w:rPr>
              <w:t>.0</w:t>
            </w:r>
          </w:p>
        </w:tc>
        <w:tc>
          <w:tcPr>
            <w:tcW w:w="1321" w:type="dxa"/>
            <w:tcBorders>
              <w:top w:val="single" w:sz="18" w:space="0" w:color="auto"/>
              <w:left w:val="nil"/>
              <w:bottom w:val="nil"/>
              <w:right w:val="nil"/>
            </w:tcBorders>
            <w:vAlign w:val="center"/>
          </w:tcPr>
          <w:p w14:paraId="3275ECD1" w14:textId="77777777" w:rsidR="00473EEA" w:rsidRPr="0084081D" w:rsidRDefault="00473EEA" w:rsidP="00384BA8">
            <w:pPr>
              <w:pStyle w:val="TableBody"/>
              <w:jc w:val="center"/>
              <w:rPr>
                <w:i/>
                <w:color w:val="000000" w:themeColor="text1"/>
              </w:rPr>
            </w:pPr>
            <w:r w:rsidRPr="0084081D">
              <w:rPr>
                <w:i/>
                <w:color w:val="000000" w:themeColor="text1"/>
              </w:rPr>
              <w:t>1.5 (1998)</w:t>
            </w:r>
          </w:p>
        </w:tc>
        <w:tc>
          <w:tcPr>
            <w:tcW w:w="1321" w:type="dxa"/>
            <w:tcBorders>
              <w:top w:val="single" w:sz="18" w:space="0" w:color="auto"/>
              <w:left w:val="nil"/>
              <w:bottom w:val="nil"/>
              <w:right w:val="nil"/>
            </w:tcBorders>
            <w:vAlign w:val="center"/>
          </w:tcPr>
          <w:p w14:paraId="710AD2EF" w14:textId="77777777" w:rsidR="00473EEA" w:rsidRPr="0084081D" w:rsidRDefault="00473EEA" w:rsidP="00384BA8">
            <w:pPr>
              <w:pStyle w:val="TableBody"/>
              <w:jc w:val="center"/>
              <w:rPr>
                <w:i/>
                <w:color w:val="000000" w:themeColor="text1"/>
              </w:rPr>
            </w:pPr>
            <w:r w:rsidRPr="0084081D">
              <w:rPr>
                <w:i/>
                <w:color w:val="000000" w:themeColor="text1"/>
              </w:rPr>
              <w:t>0.5</w:t>
            </w:r>
          </w:p>
        </w:tc>
      </w:tr>
      <w:tr w:rsidR="00473EEA" w14:paraId="55C9EA38"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23453C2A" w14:textId="77777777" w:rsidR="00473EEA" w:rsidRPr="00694A2B" w:rsidRDefault="00473EEA" w:rsidP="00384BA8">
            <w:pPr>
              <w:pStyle w:val="TableBody"/>
              <w:rPr>
                <w:b/>
              </w:rPr>
            </w:pPr>
            <w:r w:rsidRPr="00211891">
              <w:t>U.S.</w:t>
            </w:r>
          </w:p>
        </w:tc>
        <w:tc>
          <w:tcPr>
            <w:tcW w:w="1710" w:type="dxa"/>
            <w:tcBorders>
              <w:top w:val="nil"/>
              <w:left w:val="nil"/>
              <w:bottom w:val="nil"/>
              <w:right w:val="nil"/>
            </w:tcBorders>
            <w:shd w:val="clear" w:color="auto" w:fill="auto"/>
            <w:noWrap/>
            <w:vAlign w:val="center"/>
            <w:hideMark/>
          </w:tcPr>
          <w:p w14:paraId="3221CA0F" w14:textId="77777777" w:rsidR="00473EEA" w:rsidRDefault="00473EEA" w:rsidP="00384BA8">
            <w:pPr>
              <w:pStyle w:val="TableBody"/>
              <w:rPr>
                <w:sz w:val="24"/>
                <w:szCs w:val="24"/>
              </w:rPr>
            </w:pPr>
            <w:r>
              <w:t>Japan</w:t>
            </w:r>
          </w:p>
        </w:tc>
        <w:tc>
          <w:tcPr>
            <w:tcW w:w="1360" w:type="dxa"/>
            <w:tcBorders>
              <w:top w:val="nil"/>
              <w:left w:val="nil"/>
              <w:bottom w:val="nil"/>
              <w:right w:val="nil"/>
            </w:tcBorders>
            <w:shd w:val="clear" w:color="auto" w:fill="auto"/>
            <w:noWrap/>
            <w:vAlign w:val="center"/>
          </w:tcPr>
          <w:p w14:paraId="55518122" w14:textId="77777777" w:rsidR="00473EEA" w:rsidRPr="00700C8B" w:rsidRDefault="00473EEA" w:rsidP="00384BA8">
            <w:pPr>
              <w:pStyle w:val="TableBody"/>
              <w:jc w:val="center"/>
              <w:rPr>
                <w:color w:val="000000" w:themeColor="text1"/>
              </w:rPr>
            </w:pPr>
            <w:r w:rsidRPr="00700C8B">
              <w:rPr>
                <w:color w:val="000000" w:themeColor="text1"/>
              </w:rPr>
              <w:t>1945</w:t>
            </w:r>
          </w:p>
        </w:tc>
        <w:tc>
          <w:tcPr>
            <w:tcW w:w="1350" w:type="dxa"/>
            <w:tcBorders>
              <w:top w:val="nil"/>
              <w:left w:val="nil"/>
              <w:bottom w:val="nil"/>
              <w:right w:val="nil"/>
            </w:tcBorders>
            <w:vAlign w:val="center"/>
          </w:tcPr>
          <w:p w14:paraId="32D3CD78" w14:textId="77777777" w:rsidR="00473EEA" w:rsidRDefault="00473EEA" w:rsidP="00384BA8">
            <w:pPr>
              <w:pStyle w:val="TableBody"/>
              <w:jc w:val="center"/>
            </w:pPr>
            <w:r>
              <w:t>Free</w:t>
            </w:r>
          </w:p>
        </w:tc>
        <w:tc>
          <w:tcPr>
            <w:tcW w:w="1279" w:type="dxa"/>
            <w:tcBorders>
              <w:top w:val="nil"/>
              <w:left w:val="nil"/>
              <w:bottom w:val="nil"/>
              <w:right w:val="nil"/>
            </w:tcBorders>
            <w:vAlign w:val="center"/>
          </w:tcPr>
          <w:p w14:paraId="027E3F74" w14:textId="77777777" w:rsidR="00473EEA" w:rsidRDefault="00473EEA" w:rsidP="00384BA8">
            <w:pPr>
              <w:pStyle w:val="TableBody"/>
              <w:jc w:val="center"/>
            </w:pPr>
            <w:r>
              <w:t>1</w:t>
            </w:r>
            <w:r>
              <w:rPr>
                <w:color w:val="000000" w:themeColor="text1"/>
              </w:rPr>
              <w:t>.0</w:t>
            </w:r>
          </w:p>
        </w:tc>
        <w:tc>
          <w:tcPr>
            <w:tcW w:w="1321" w:type="dxa"/>
            <w:tcBorders>
              <w:top w:val="nil"/>
              <w:left w:val="nil"/>
              <w:bottom w:val="nil"/>
              <w:right w:val="nil"/>
            </w:tcBorders>
            <w:vAlign w:val="center"/>
          </w:tcPr>
          <w:p w14:paraId="4054E3DD" w14:textId="77777777" w:rsidR="00473EEA" w:rsidRPr="0084081D" w:rsidRDefault="00473EEA" w:rsidP="00384BA8">
            <w:pPr>
              <w:pStyle w:val="TableBody"/>
              <w:jc w:val="center"/>
              <w:rPr>
                <w:i/>
                <w:color w:val="000000" w:themeColor="text1"/>
              </w:rPr>
            </w:pPr>
            <w:r w:rsidRPr="0084081D">
              <w:rPr>
                <w:i/>
                <w:color w:val="000000" w:themeColor="text1"/>
              </w:rPr>
              <w:t>1.5 (1998)</w:t>
            </w:r>
          </w:p>
        </w:tc>
        <w:tc>
          <w:tcPr>
            <w:tcW w:w="1321" w:type="dxa"/>
            <w:tcBorders>
              <w:top w:val="nil"/>
              <w:left w:val="nil"/>
              <w:bottom w:val="nil"/>
              <w:right w:val="nil"/>
            </w:tcBorders>
            <w:vAlign w:val="center"/>
          </w:tcPr>
          <w:p w14:paraId="13B65AE6" w14:textId="77777777" w:rsidR="00473EEA" w:rsidRPr="0084081D" w:rsidRDefault="00473EEA" w:rsidP="00384BA8">
            <w:pPr>
              <w:pStyle w:val="TableBody"/>
              <w:jc w:val="center"/>
              <w:rPr>
                <w:i/>
                <w:color w:val="000000" w:themeColor="text1"/>
              </w:rPr>
            </w:pPr>
            <w:r w:rsidRPr="0084081D">
              <w:rPr>
                <w:i/>
                <w:color w:val="000000" w:themeColor="text1"/>
              </w:rPr>
              <w:t>0.5</w:t>
            </w:r>
          </w:p>
        </w:tc>
      </w:tr>
      <w:tr w:rsidR="00473EEA" w14:paraId="442382E0"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3E2B36D1" w14:textId="77777777" w:rsidR="00473EEA" w:rsidRPr="00694A2B" w:rsidRDefault="00473EEA" w:rsidP="00384BA8">
            <w:pPr>
              <w:pStyle w:val="TableBody"/>
              <w:rPr>
                <w:b/>
              </w:rPr>
            </w:pPr>
            <w:r w:rsidRPr="00211891">
              <w:t>U.S.</w:t>
            </w:r>
          </w:p>
        </w:tc>
        <w:tc>
          <w:tcPr>
            <w:tcW w:w="1710" w:type="dxa"/>
            <w:tcBorders>
              <w:top w:val="nil"/>
              <w:left w:val="nil"/>
              <w:bottom w:val="nil"/>
              <w:right w:val="nil"/>
            </w:tcBorders>
            <w:shd w:val="clear" w:color="auto" w:fill="auto"/>
            <w:noWrap/>
            <w:vAlign w:val="center"/>
            <w:hideMark/>
          </w:tcPr>
          <w:p w14:paraId="1AE2CCEA" w14:textId="77777777" w:rsidR="00473EEA" w:rsidRDefault="00473EEA" w:rsidP="00384BA8">
            <w:pPr>
              <w:pStyle w:val="TableBody"/>
              <w:rPr>
                <w:sz w:val="24"/>
                <w:szCs w:val="24"/>
              </w:rPr>
            </w:pPr>
            <w:r>
              <w:t>Somalia (I)</w:t>
            </w:r>
          </w:p>
        </w:tc>
        <w:tc>
          <w:tcPr>
            <w:tcW w:w="1360" w:type="dxa"/>
            <w:tcBorders>
              <w:top w:val="nil"/>
              <w:left w:val="nil"/>
              <w:bottom w:val="nil"/>
              <w:right w:val="nil"/>
            </w:tcBorders>
            <w:shd w:val="clear" w:color="auto" w:fill="auto"/>
            <w:noWrap/>
            <w:vAlign w:val="center"/>
          </w:tcPr>
          <w:p w14:paraId="09DBF072" w14:textId="77777777" w:rsidR="00473EEA" w:rsidRPr="00700C8B" w:rsidRDefault="00473EEA" w:rsidP="00384BA8">
            <w:pPr>
              <w:pStyle w:val="TableBody"/>
              <w:jc w:val="center"/>
              <w:rPr>
                <w:color w:val="000000" w:themeColor="text1"/>
              </w:rPr>
            </w:pPr>
            <w:r w:rsidRPr="00700C8B">
              <w:rPr>
                <w:color w:val="000000" w:themeColor="text1"/>
              </w:rPr>
              <w:t>1992</w:t>
            </w:r>
          </w:p>
        </w:tc>
        <w:tc>
          <w:tcPr>
            <w:tcW w:w="1350" w:type="dxa"/>
            <w:tcBorders>
              <w:top w:val="nil"/>
              <w:left w:val="nil"/>
              <w:bottom w:val="nil"/>
              <w:right w:val="nil"/>
            </w:tcBorders>
            <w:vAlign w:val="center"/>
          </w:tcPr>
          <w:p w14:paraId="55A40B2C" w14:textId="77777777" w:rsidR="00473EEA" w:rsidRDefault="00473EEA" w:rsidP="00384BA8">
            <w:pPr>
              <w:pStyle w:val="TableBody"/>
              <w:jc w:val="center"/>
            </w:pPr>
            <w:r>
              <w:t>Not free</w:t>
            </w:r>
          </w:p>
        </w:tc>
        <w:tc>
          <w:tcPr>
            <w:tcW w:w="1279" w:type="dxa"/>
            <w:tcBorders>
              <w:top w:val="nil"/>
              <w:left w:val="nil"/>
              <w:bottom w:val="nil"/>
              <w:right w:val="nil"/>
            </w:tcBorders>
            <w:vAlign w:val="center"/>
          </w:tcPr>
          <w:p w14:paraId="114D74F3" w14:textId="77777777" w:rsidR="00473EEA" w:rsidRDefault="00473EEA" w:rsidP="00384BA8">
            <w:pPr>
              <w:pStyle w:val="TableBody"/>
              <w:jc w:val="center"/>
            </w:pPr>
            <w:r>
              <w:t>7</w:t>
            </w:r>
            <w:r>
              <w:rPr>
                <w:color w:val="000000" w:themeColor="text1"/>
              </w:rPr>
              <w:t>.0</w:t>
            </w:r>
          </w:p>
        </w:tc>
        <w:tc>
          <w:tcPr>
            <w:tcW w:w="1321" w:type="dxa"/>
            <w:tcBorders>
              <w:top w:val="nil"/>
              <w:left w:val="nil"/>
              <w:bottom w:val="nil"/>
              <w:right w:val="nil"/>
            </w:tcBorders>
            <w:vAlign w:val="center"/>
          </w:tcPr>
          <w:p w14:paraId="638C3936" w14:textId="77777777" w:rsidR="00473EEA" w:rsidRPr="0084081D" w:rsidRDefault="00473EEA" w:rsidP="00384BA8">
            <w:pPr>
              <w:pStyle w:val="TableBody"/>
              <w:jc w:val="center"/>
              <w:rPr>
                <w:i/>
                <w:color w:val="000000" w:themeColor="text1"/>
              </w:rPr>
            </w:pPr>
            <w:r w:rsidRPr="0084081D">
              <w:rPr>
                <w:i/>
                <w:color w:val="000000" w:themeColor="text1"/>
              </w:rPr>
              <w:t>7.0 (1999)</w:t>
            </w:r>
          </w:p>
        </w:tc>
        <w:tc>
          <w:tcPr>
            <w:tcW w:w="1321" w:type="dxa"/>
            <w:tcBorders>
              <w:top w:val="nil"/>
              <w:left w:val="nil"/>
              <w:bottom w:val="nil"/>
              <w:right w:val="nil"/>
            </w:tcBorders>
            <w:vAlign w:val="center"/>
          </w:tcPr>
          <w:p w14:paraId="157BA988" w14:textId="77777777" w:rsidR="00473EEA" w:rsidRPr="0084081D" w:rsidRDefault="00473EEA" w:rsidP="00384BA8">
            <w:pPr>
              <w:pStyle w:val="TableBody"/>
              <w:jc w:val="center"/>
              <w:rPr>
                <w:i/>
                <w:color w:val="000000" w:themeColor="text1"/>
              </w:rPr>
            </w:pPr>
            <w:r w:rsidRPr="0084081D">
              <w:rPr>
                <w:i/>
                <w:color w:val="000000" w:themeColor="text1"/>
              </w:rPr>
              <w:t>0.0</w:t>
            </w:r>
          </w:p>
        </w:tc>
      </w:tr>
      <w:tr w:rsidR="00473EEA" w14:paraId="51E18D64"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21609542" w14:textId="77777777" w:rsidR="00473EEA" w:rsidRPr="00694A2B" w:rsidRDefault="00473EEA" w:rsidP="00384BA8">
            <w:pPr>
              <w:pStyle w:val="TableBody"/>
              <w:rPr>
                <w:b/>
              </w:rPr>
            </w:pPr>
            <w:r w:rsidRPr="00211891">
              <w:t>U.S.</w:t>
            </w:r>
          </w:p>
        </w:tc>
        <w:tc>
          <w:tcPr>
            <w:tcW w:w="1710" w:type="dxa"/>
            <w:tcBorders>
              <w:top w:val="nil"/>
              <w:left w:val="nil"/>
              <w:bottom w:val="nil"/>
              <w:right w:val="nil"/>
            </w:tcBorders>
            <w:shd w:val="clear" w:color="auto" w:fill="auto"/>
            <w:noWrap/>
            <w:vAlign w:val="center"/>
            <w:hideMark/>
          </w:tcPr>
          <w:p w14:paraId="114ABC34" w14:textId="77777777" w:rsidR="00473EEA" w:rsidRDefault="00473EEA" w:rsidP="00384BA8">
            <w:pPr>
              <w:pStyle w:val="TableBody"/>
              <w:rPr>
                <w:sz w:val="24"/>
                <w:szCs w:val="24"/>
              </w:rPr>
            </w:pPr>
            <w:r>
              <w:t>Haiti</w:t>
            </w:r>
          </w:p>
        </w:tc>
        <w:tc>
          <w:tcPr>
            <w:tcW w:w="1360" w:type="dxa"/>
            <w:tcBorders>
              <w:top w:val="nil"/>
              <w:left w:val="nil"/>
              <w:bottom w:val="nil"/>
              <w:right w:val="nil"/>
            </w:tcBorders>
            <w:shd w:val="clear" w:color="auto" w:fill="auto"/>
            <w:noWrap/>
            <w:vAlign w:val="center"/>
          </w:tcPr>
          <w:p w14:paraId="7B22C558" w14:textId="77777777" w:rsidR="00473EEA" w:rsidRPr="00700C8B" w:rsidRDefault="00473EEA" w:rsidP="00384BA8">
            <w:pPr>
              <w:pStyle w:val="TableBody"/>
              <w:jc w:val="center"/>
              <w:rPr>
                <w:color w:val="000000" w:themeColor="text1"/>
              </w:rPr>
            </w:pPr>
            <w:r w:rsidRPr="00700C8B">
              <w:rPr>
                <w:color w:val="000000" w:themeColor="text1"/>
              </w:rPr>
              <w:t>1994</w:t>
            </w:r>
          </w:p>
        </w:tc>
        <w:tc>
          <w:tcPr>
            <w:tcW w:w="1350" w:type="dxa"/>
            <w:tcBorders>
              <w:top w:val="nil"/>
              <w:left w:val="nil"/>
              <w:bottom w:val="nil"/>
              <w:right w:val="nil"/>
            </w:tcBorders>
            <w:vAlign w:val="center"/>
          </w:tcPr>
          <w:p w14:paraId="7FF9B27B"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29412015" w14:textId="77777777" w:rsidR="00473EEA" w:rsidRDefault="00473EEA" w:rsidP="00384BA8">
            <w:pPr>
              <w:pStyle w:val="TableBody"/>
              <w:jc w:val="center"/>
            </w:pPr>
            <w:r>
              <w:t>5</w:t>
            </w:r>
            <w:r>
              <w:rPr>
                <w:color w:val="000000" w:themeColor="text1"/>
              </w:rPr>
              <w:t>.0</w:t>
            </w:r>
          </w:p>
        </w:tc>
        <w:tc>
          <w:tcPr>
            <w:tcW w:w="1321" w:type="dxa"/>
            <w:tcBorders>
              <w:top w:val="nil"/>
              <w:left w:val="nil"/>
              <w:bottom w:val="nil"/>
              <w:right w:val="nil"/>
            </w:tcBorders>
            <w:vAlign w:val="center"/>
          </w:tcPr>
          <w:p w14:paraId="427881CC" w14:textId="77777777" w:rsidR="00473EEA" w:rsidRPr="0084081D" w:rsidRDefault="00473EEA" w:rsidP="00384BA8">
            <w:pPr>
              <w:pStyle w:val="TableBody"/>
              <w:jc w:val="center"/>
              <w:rPr>
                <w:i/>
                <w:color w:val="000000" w:themeColor="text1"/>
              </w:rPr>
            </w:pPr>
            <w:r w:rsidRPr="0084081D">
              <w:rPr>
                <w:i/>
                <w:color w:val="000000" w:themeColor="text1"/>
              </w:rPr>
              <w:t>5.0 (1998)</w:t>
            </w:r>
          </w:p>
        </w:tc>
        <w:tc>
          <w:tcPr>
            <w:tcW w:w="1321" w:type="dxa"/>
            <w:tcBorders>
              <w:top w:val="nil"/>
              <w:left w:val="nil"/>
              <w:bottom w:val="nil"/>
              <w:right w:val="nil"/>
            </w:tcBorders>
            <w:vAlign w:val="center"/>
          </w:tcPr>
          <w:p w14:paraId="2418437B" w14:textId="77777777" w:rsidR="00473EEA" w:rsidRPr="0084081D" w:rsidRDefault="00473EEA" w:rsidP="00384BA8">
            <w:pPr>
              <w:pStyle w:val="TableBody"/>
              <w:jc w:val="center"/>
              <w:rPr>
                <w:i/>
                <w:color w:val="000000" w:themeColor="text1"/>
              </w:rPr>
            </w:pPr>
            <w:r w:rsidRPr="0084081D">
              <w:rPr>
                <w:i/>
                <w:color w:val="000000" w:themeColor="text1"/>
              </w:rPr>
              <w:t>0.0</w:t>
            </w:r>
          </w:p>
        </w:tc>
      </w:tr>
      <w:tr w:rsidR="00473EEA" w14:paraId="734DEC9F"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54FA08A6" w14:textId="77777777" w:rsidR="00473EEA" w:rsidRPr="00694A2B" w:rsidRDefault="00473EEA" w:rsidP="00384BA8">
            <w:pPr>
              <w:pStyle w:val="TableBody"/>
              <w:rPr>
                <w:b/>
              </w:rPr>
            </w:pPr>
            <w:r w:rsidRPr="00211891">
              <w:t>U.S.</w:t>
            </w:r>
            <w:r>
              <w:t>/NATO</w:t>
            </w:r>
          </w:p>
        </w:tc>
        <w:tc>
          <w:tcPr>
            <w:tcW w:w="1710" w:type="dxa"/>
            <w:tcBorders>
              <w:top w:val="nil"/>
              <w:left w:val="nil"/>
              <w:bottom w:val="nil"/>
              <w:right w:val="nil"/>
            </w:tcBorders>
            <w:shd w:val="clear" w:color="auto" w:fill="auto"/>
            <w:noWrap/>
            <w:vAlign w:val="center"/>
            <w:hideMark/>
          </w:tcPr>
          <w:p w14:paraId="172AA18C" w14:textId="77777777" w:rsidR="00473EEA" w:rsidRDefault="00473EEA" w:rsidP="00384BA8">
            <w:pPr>
              <w:pStyle w:val="TableBody"/>
              <w:rPr>
                <w:sz w:val="24"/>
                <w:szCs w:val="24"/>
              </w:rPr>
            </w:pPr>
            <w:r>
              <w:t>Bosnia (I)</w:t>
            </w:r>
          </w:p>
        </w:tc>
        <w:tc>
          <w:tcPr>
            <w:tcW w:w="1360" w:type="dxa"/>
            <w:tcBorders>
              <w:top w:val="nil"/>
              <w:left w:val="nil"/>
              <w:bottom w:val="nil"/>
              <w:right w:val="nil"/>
            </w:tcBorders>
            <w:shd w:val="clear" w:color="auto" w:fill="auto"/>
            <w:noWrap/>
            <w:vAlign w:val="center"/>
          </w:tcPr>
          <w:p w14:paraId="59843826" w14:textId="77777777" w:rsidR="00473EEA" w:rsidRPr="00700C8B" w:rsidRDefault="00473EEA" w:rsidP="00384BA8">
            <w:pPr>
              <w:pStyle w:val="TableBody"/>
              <w:jc w:val="center"/>
              <w:rPr>
                <w:color w:val="000000" w:themeColor="text1"/>
              </w:rPr>
            </w:pPr>
            <w:r w:rsidRPr="00700C8B">
              <w:rPr>
                <w:color w:val="000000" w:themeColor="text1"/>
              </w:rPr>
              <w:t>1995</w:t>
            </w:r>
          </w:p>
        </w:tc>
        <w:tc>
          <w:tcPr>
            <w:tcW w:w="1350" w:type="dxa"/>
            <w:tcBorders>
              <w:top w:val="nil"/>
              <w:left w:val="nil"/>
              <w:bottom w:val="nil"/>
              <w:right w:val="nil"/>
            </w:tcBorders>
            <w:vAlign w:val="center"/>
          </w:tcPr>
          <w:p w14:paraId="406ADDCD"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5ECBCCB3" w14:textId="77777777" w:rsidR="00473EEA" w:rsidRDefault="00473EEA" w:rsidP="00384BA8">
            <w:pPr>
              <w:pStyle w:val="TableBody"/>
              <w:jc w:val="center"/>
            </w:pPr>
            <w:r>
              <w:t>4</w:t>
            </w:r>
            <w:r>
              <w:rPr>
                <w:color w:val="000000" w:themeColor="text1"/>
              </w:rPr>
              <w:t>.0</w:t>
            </w:r>
          </w:p>
        </w:tc>
        <w:tc>
          <w:tcPr>
            <w:tcW w:w="1321" w:type="dxa"/>
            <w:tcBorders>
              <w:top w:val="nil"/>
              <w:left w:val="nil"/>
              <w:bottom w:val="nil"/>
              <w:right w:val="nil"/>
            </w:tcBorders>
            <w:vAlign w:val="center"/>
          </w:tcPr>
          <w:p w14:paraId="4B78D6F4" w14:textId="77777777" w:rsidR="00473EEA" w:rsidRPr="0084081D" w:rsidRDefault="00473EEA" w:rsidP="00384BA8">
            <w:pPr>
              <w:pStyle w:val="TableBody"/>
              <w:jc w:val="center"/>
              <w:rPr>
                <w:i/>
                <w:color w:val="000000" w:themeColor="text1"/>
              </w:rPr>
            </w:pPr>
            <w:r w:rsidRPr="0084081D">
              <w:rPr>
                <w:i/>
                <w:color w:val="000000" w:themeColor="text1"/>
              </w:rPr>
              <w:t>5.0 (1998)</w:t>
            </w:r>
          </w:p>
        </w:tc>
        <w:tc>
          <w:tcPr>
            <w:tcW w:w="1321" w:type="dxa"/>
            <w:tcBorders>
              <w:top w:val="nil"/>
              <w:left w:val="nil"/>
              <w:bottom w:val="nil"/>
              <w:right w:val="nil"/>
            </w:tcBorders>
            <w:vAlign w:val="center"/>
          </w:tcPr>
          <w:p w14:paraId="75DB2601" w14:textId="77777777" w:rsidR="00473EEA" w:rsidRPr="0084081D" w:rsidRDefault="00473EEA" w:rsidP="00384BA8">
            <w:pPr>
              <w:pStyle w:val="TableBody"/>
              <w:jc w:val="center"/>
              <w:rPr>
                <w:i/>
                <w:color w:val="000000" w:themeColor="text1"/>
              </w:rPr>
            </w:pPr>
            <w:r w:rsidRPr="0084081D">
              <w:rPr>
                <w:i/>
                <w:color w:val="000000" w:themeColor="text1"/>
              </w:rPr>
              <w:t>0.0</w:t>
            </w:r>
          </w:p>
        </w:tc>
      </w:tr>
      <w:tr w:rsidR="00473EEA" w14:paraId="00D44212"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0F7B7E22" w14:textId="77777777" w:rsidR="00473EEA" w:rsidRPr="00694A2B" w:rsidRDefault="00473EEA" w:rsidP="00384BA8">
            <w:pPr>
              <w:pStyle w:val="TableBody"/>
              <w:rPr>
                <w:b/>
              </w:rPr>
            </w:pPr>
            <w:r w:rsidRPr="00211891">
              <w:t>U.S.</w:t>
            </w:r>
            <w:r>
              <w:t>/NATO</w:t>
            </w:r>
          </w:p>
        </w:tc>
        <w:tc>
          <w:tcPr>
            <w:tcW w:w="1710" w:type="dxa"/>
            <w:tcBorders>
              <w:top w:val="nil"/>
              <w:left w:val="nil"/>
              <w:bottom w:val="nil"/>
              <w:right w:val="nil"/>
            </w:tcBorders>
            <w:shd w:val="clear" w:color="auto" w:fill="auto"/>
            <w:noWrap/>
            <w:vAlign w:val="center"/>
            <w:hideMark/>
          </w:tcPr>
          <w:p w14:paraId="0FA2A743" w14:textId="77777777" w:rsidR="00473EEA" w:rsidRDefault="00473EEA" w:rsidP="00384BA8">
            <w:pPr>
              <w:pStyle w:val="TableBody"/>
              <w:rPr>
                <w:sz w:val="24"/>
                <w:szCs w:val="24"/>
              </w:rPr>
            </w:pPr>
            <w:r>
              <w:t>Kosovo</w:t>
            </w:r>
          </w:p>
        </w:tc>
        <w:tc>
          <w:tcPr>
            <w:tcW w:w="1360" w:type="dxa"/>
            <w:tcBorders>
              <w:top w:val="nil"/>
              <w:left w:val="nil"/>
              <w:bottom w:val="nil"/>
              <w:right w:val="nil"/>
            </w:tcBorders>
            <w:shd w:val="clear" w:color="auto" w:fill="auto"/>
            <w:noWrap/>
            <w:vAlign w:val="center"/>
          </w:tcPr>
          <w:p w14:paraId="6DF75EB3" w14:textId="77777777" w:rsidR="00473EEA" w:rsidRPr="00700C8B" w:rsidRDefault="00473EEA" w:rsidP="00384BA8">
            <w:pPr>
              <w:pStyle w:val="TableBody"/>
              <w:jc w:val="center"/>
              <w:rPr>
                <w:color w:val="000000" w:themeColor="text1"/>
              </w:rPr>
            </w:pPr>
            <w:r w:rsidRPr="00700C8B">
              <w:rPr>
                <w:color w:val="000000" w:themeColor="text1"/>
              </w:rPr>
              <w:t>1999</w:t>
            </w:r>
          </w:p>
        </w:tc>
        <w:tc>
          <w:tcPr>
            <w:tcW w:w="1350" w:type="dxa"/>
            <w:tcBorders>
              <w:top w:val="nil"/>
              <w:left w:val="nil"/>
              <w:bottom w:val="nil"/>
              <w:right w:val="nil"/>
            </w:tcBorders>
            <w:vAlign w:val="center"/>
          </w:tcPr>
          <w:p w14:paraId="45F8DD0E"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77454ECE" w14:textId="77777777" w:rsidR="00473EEA" w:rsidRDefault="00473EEA" w:rsidP="00384BA8">
            <w:pPr>
              <w:pStyle w:val="TableBody"/>
              <w:jc w:val="center"/>
            </w:pPr>
            <w:r>
              <w:t>3.5</w:t>
            </w:r>
          </w:p>
        </w:tc>
        <w:tc>
          <w:tcPr>
            <w:tcW w:w="1321" w:type="dxa"/>
            <w:tcBorders>
              <w:top w:val="nil"/>
              <w:left w:val="nil"/>
              <w:bottom w:val="nil"/>
              <w:right w:val="nil"/>
            </w:tcBorders>
            <w:vAlign w:val="center"/>
          </w:tcPr>
          <w:p w14:paraId="38ED242E" w14:textId="77777777" w:rsidR="00473EEA" w:rsidRPr="0084081D" w:rsidRDefault="00473EEA" w:rsidP="00384BA8">
            <w:pPr>
              <w:pStyle w:val="TableBody"/>
              <w:jc w:val="center"/>
              <w:rPr>
                <w:color w:val="000000" w:themeColor="text1"/>
              </w:rPr>
            </w:pPr>
            <w:r w:rsidRPr="0084081D">
              <w:rPr>
                <w:color w:val="000000" w:themeColor="text1"/>
              </w:rPr>
              <w:t>5.0</w:t>
            </w:r>
          </w:p>
        </w:tc>
        <w:tc>
          <w:tcPr>
            <w:tcW w:w="1321" w:type="dxa"/>
            <w:tcBorders>
              <w:top w:val="nil"/>
              <w:left w:val="nil"/>
              <w:bottom w:val="nil"/>
              <w:right w:val="nil"/>
            </w:tcBorders>
            <w:vAlign w:val="center"/>
          </w:tcPr>
          <w:p w14:paraId="7C91CF8D" w14:textId="77777777" w:rsidR="00473EEA" w:rsidRPr="0084081D" w:rsidRDefault="00473EEA" w:rsidP="00384BA8">
            <w:pPr>
              <w:pStyle w:val="TableBody"/>
              <w:jc w:val="center"/>
              <w:rPr>
                <w:color w:val="000000" w:themeColor="text1"/>
              </w:rPr>
            </w:pPr>
            <w:r w:rsidRPr="0084081D">
              <w:rPr>
                <w:color w:val="000000" w:themeColor="text1"/>
              </w:rPr>
              <w:t>1.5</w:t>
            </w:r>
          </w:p>
        </w:tc>
      </w:tr>
      <w:tr w:rsidR="00473EEA" w14:paraId="320A3F0A"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69F76B1A" w14:textId="77777777" w:rsidR="00473EEA" w:rsidRPr="00694A2B" w:rsidRDefault="00473EEA" w:rsidP="00384BA8">
            <w:pPr>
              <w:pStyle w:val="TableBody"/>
              <w:rPr>
                <w:b/>
              </w:rPr>
            </w:pPr>
            <w:r w:rsidRPr="00211891">
              <w:t>U.S.</w:t>
            </w:r>
            <w:r>
              <w:t>/NATO</w:t>
            </w:r>
          </w:p>
        </w:tc>
        <w:tc>
          <w:tcPr>
            <w:tcW w:w="1710" w:type="dxa"/>
            <w:tcBorders>
              <w:top w:val="nil"/>
              <w:left w:val="nil"/>
              <w:bottom w:val="nil"/>
              <w:right w:val="nil"/>
            </w:tcBorders>
            <w:shd w:val="clear" w:color="auto" w:fill="auto"/>
            <w:noWrap/>
            <w:vAlign w:val="center"/>
            <w:hideMark/>
          </w:tcPr>
          <w:p w14:paraId="53D4B7FC" w14:textId="77777777" w:rsidR="00473EEA" w:rsidRDefault="00473EEA" w:rsidP="00384BA8">
            <w:pPr>
              <w:pStyle w:val="TableBody"/>
              <w:rPr>
                <w:sz w:val="24"/>
                <w:szCs w:val="24"/>
              </w:rPr>
            </w:pPr>
            <w:r>
              <w:t>Afghanistan</w:t>
            </w:r>
          </w:p>
        </w:tc>
        <w:tc>
          <w:tcPr>
            <w:tcW w:w="1360" w:type="dxa"/>
            <w:tcBorders>
              <w:top w:val="nil"/>
              <w:left w:val="nil"/>
              <w:bottom w:val="nil"/>
              <w:right w:val="nil"/>
            </w:tcBorders>
            <w:shd w:val="clear" w:color="auto" w:fill="auto"/>
            <w:noWrap/>
            <w:vAlign w:val="center"/>
          </w:tcPr>
          <w:p w14:paraId="22A3274C" w14:textId="77777777" w:rsidR="00473EEA" w:rsidRPr="00700C8B" w:rsidRDefault="00473EEA" w:rsidP="00384BA8">
            <w:pPr>
              <w:pStyle w:val="TableBody"/>
              <w:jc w:val="center"/>
              <w:rPr>
                <w:color w:val="000000" w:themeColor="text1"/>
              </w:rPr>
            </w:pPr>
            <w:r w:rsidRPr="00700C8B">
              <w:rPr>
                <w:color w:val="000000" w:themeColor="text1"/>
              </w:rPr>
              <w:t>2001</w:t>
            </w:r>
          </w:p>
        </w:tc>
        <w:tc>
          <w:tcPr>
            <w:tcW w:w="1350" w:type="dxa"/>
            <w:tcBorders>
              <w:top w:val="nil"/>
              <w:left w:val="nil"/>
              <w:bottom w:val="nil"/>
              <w:right w:val="nil"/>
            </w:tcBorders>
            <w:vAlign w:val="center"/>
          </w:tcPr>
          <w:p w14:paraId="682765E6" w14:textId="77777777" w:rsidR="00473EEA" w:rsidRDefault="00473EEA" w:rsidP="00384BA8">
            <w:pPr>
              <w:pStyle w:val="TableBody"/>
              <w:jc w:val="center"/>
            </w:pPr>
            <w:r>
              <w:t>Not free</w:t>
            </w:r>
          </w:p>
        </w:tc>
        <w:tc>
          <w:tcPr>
            <w:tcW w:w="1279" w:type="dxa"/>
            <w:tcBorders>
              <w:top w:val="nil"/>
              <w:left w:val="nil"/>
              <w:bottom w:val="nil"/>
              <w:right w:val="nil"/>
            </w:tcBorders>
            <w:vAlign w:val="center"/>
          </w:tcPr>
          <w:p w14:paraId="4A7D19D9" w14:textId="77777777" w:rsidR="00473EEA" w:rsidRDefault="00473EEA" w:rsidP="00384BA8">
            <w:pPr>
              <w:pStyle w:val="TableBody"/>
              <w:jc w:val="center"/>
            </w:pPr>
            <w:r>
              <w:t>5.5</w:t>
            </w:r>
          </w:p>
        </w:tc>
        <w:tc>
          <w:tcPr>
            <w:tcW w:w="1321" w:type="dxa"/>
            <w:tcBorders>
              <w:top w:val="nil"/>
              <w:left w:val="nil"/>
              <w:bottom w:val="nil"/>
              <w:right w:val="nil"/>
            </w:tcBorders>
            <w:vAlign w:val="center"/>
          </w:tcPr>
          <w:p w14:paraId="3C5565E3" w14:textId="77777777" w:rsidR="00473EEA" w:rsidRPr="0084081D" w:rsidRDefault="00473EEA" w:rsidP="00384BA8">
            <w:pPr>
              <w:pStyle w:val="TableBody"/>
              <w:jc w:val="center"/>
              <w:rPr>
                <w:color w:val="000000" w:themeColor="text1"/>
              </w:rPr>
            </w:pPr>
            <w:r w:rsidRPr="0084081D">
              <w:rPr>
                <w:color w:val="000000" w:themeColor="text1"/>
              </w:rPr>
              <w:t>7.0</w:t>
            </w:r>
          </w:p>
        </w:tc>
        <w:tc>
          <w:tcPr>
            <w:tcW w:w="1321" w:type="dxa"/>
            <w:tcBorders>
              <w:top w:val="nil"/>
              <w:left w:val="nil"/>
              <w:bottom w:val="nil"/>
              <w:right w:val="nil"/>
            </w:tcBorders>
            <w:vAlign w:val="center"/>
          </w:tcPr>
          <w:p w14:paraId="333276F4" w14:textId="77777777" w:rsidR="00473EEA" w:rsidRPr="0084081D" w:rsidRDefault="00473EEA" w:rsidP="00384BA8">
            <w:pPr>
              <w:pStyle w:val="TableBody"/>
              <w:jc w:val="center"/>
              <w:rPr>
                <w:color w:val="000000" w:themeColor="text1"/>
              </w:rPr>
            </w:pPr>
            <w:r w:rsidRPr="0084081D">
              <w:rPr>
                <w:color w:val="000000" w:themeColor="text1"/>
              </w:rPr>
              <w:t>1.5</w:t>
            </w:r>
          </w:p>
        </w:tc>
      </w:tr>
      <w:tr w:rsidR="00473EEA" w14:paraId="3AF5B5FE"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4E2138A6" w14:textId="77777777" w:rsidR="00473EEA" w:rsidRPr="00694A2B" w:rsidRDefault="00473EEA" w:rsidP="00384BA8">
            <w:pPr>
              <w:pStyle w:val="TableBody"/>
              <w:rPr>
                <w:b/>
              </w:rPr>
            </w:pPr>
            <w:r w:rsidRPr="00211891">
              <w:t>U.S.</w:t>
            </w:r>
          </w:p>
        </w:tc>
        <w:tc>
          <w:tcPr>
            <w:tcW w:w="1710" w:type="dxa"/>
            <w:tcBorders>
              <w:top w:val="nil"/>
              <w:left w:val="nil"/>
              <w:bottom w:val="nil"/>
              <w:right w:val="nil"/>
            </w:tcBorders>
            <w:shd w:val="clear" w:color="auto" w:fill="auto"/>
            <w:noWrap/>
            <w:vAlign w:val="center"/>
            <w:hideMark/>
          </w:tcPr>
          <w:p w14:paraId="6B872639" w14:textId="77777777" w:rsidR="00473EEA" w:rsidRDefault="00473EEA" w:rsidP="00384BA8">
            <w:pPr>
              <w:pStyle w:val="TableBody"/>
              <w:rPr>
                <w:sz w:val="24"/>
                <w:szCs w:val="24"/>
              </w:rPr>
            </w:pPr>
            <w:r>
              <w:t>Iraq</w:t>
            </w:r>
          </w:p>
        </w:tc>
        <w:tc>
          <w:tcPr>
            <w:tcW w:w="1360" w:type="dxa"/>
            <w:tcBorders>
              <w:top w:val="nil"/>
              <w:left w:val="nil"/>
              <w:bottom w:val="nil"/>
              <w:right w:val="nil"/>
            </w:tcBorders>
            <w:shd w:val="clear" w:color="auto" w:fill="auto"/>
            <w:noWrap/>
            <w:vAlign w:val="center"/>
          </w:tcPr>
          <w:p w14:paraId="3AD24474" w14:textId="77777777" w:rsidR="00473EEA" w:rsidRPr="00700C8B" w:rsidRDefault="00473EEA" w:rsidP="00384BA8">
            <w:pPr>
              <w:pStyle w:val="TableBody"/>
              <w:jc w:val="center"/>
              <w:rPr>
                <w:color w:val="000000" w:themeColor="text1"/>
              </w:rPr>
            </w:pPr>
            <w:r w:rsidRPr="00700C8B">
              <w:rPr>
                <w:color w:val="000000" w:themeColor="text1"/>
              </w:rPr>
              <w:t>2003</w:t>
            </w:r>
          </w:p>
        </w:tc>
        <w:tc>
          <w:tcPr>
            <w:tcW w:w="1350" w:type="dxa"/>
            <w:tcBorders>
              <w:top w:val="nil"/>
              <w:left w:val="nil"/>
              <w:bottom w:val="nil"/>
              <w:right w:val="nil"/>
            </w:tcBorders>
            <w:vAlign w:val="center"/>
          </w:tcPr>
          <w:p w14:paraId="2F98F7C6" w14:textId="77777777" w:rsidR="00473EEA" w:rsidRDefault="00473EEA" w:rsidP="00384BA8">
            <w:pPr>
              <w:pStyle w:val="TableBody"/>
              <w:jc w:val="center"/>
              <w:rPr>
                <w:color w:val="FF0000"/>
              </w:rPr>
            </w:pPr>
            <w:r>
              <w:t>Not free</w:t>
            </w:r>
          </w:p>
        </w:tc>
        <w:tc>
          <w:tcPr>
            <w:tcW w:w="1279" w:type="dxa"/>
            <w:tcBorders>
              <w:top w:val="nil"/>
              <w:left w:val="nil"/>
              <w:bottom w:val="nil"/>
              <w:right w:val="nil"/>
            </w:tcBorders>
            <w:vAlign w:val="center"/>
          </w:tcPr>
          <w:p w14:paraId="1A663468" w14:textId="77777777" w:rsidR="00473EEA" w:rsidRPr="001A6581" w:rsidRDefault="00473EEA" w:rsidP="00384BA8">
            <w:pPr>
              <w:pStyle w:val="TableBody"/>
              <w:jc w:val="center"/>
              <w:rPr>
                <w:color w:val="000000" w:themeColor="text1"/>
              </w:rPr>
            </w:pPr>
            <w:r w:rsidRPr="001A6581">
              <w:rPr>
                <w:color w:val="000000" w:themeColor="text1"/>
              </w:rPr>
              <w:t>5.5</w:t>
            </w:r>
          </w:p>
        </w:tc>
        <w:tc>
          <w:tcPr>
            <w:tcW w:w="1321" w:type="dxa"/>
            <w:tcBorders>
              <w:top w:val="nil"/>
              <w:left w:val="nil"/>
              <w:bottom w:val="nil"/>
              <w:right w:val="nil"/>
            </w:tcBorders>
            <w:vAlign w:val="center"/>
          </w:tcPr>
          <w:p w14:paraId="5DF54C93" w14:textId="77777777" w:rsidR="00473EEA" w:rsidRPr="0084081D" w:rsidRDefault="00473EEA" w:rsidP="00384BA8">
            <w:pPr>
              <w:pStyle w:val="TableBody"/>
              <w:jc w:val="center"/>
              <w:rPr>
                <w:color w:val="000000" w:themeColor="text1"/>
              </w:rPr>
            </w:pPr>
            <w:r w:rsidRPr="0084081D">
              <w:rPr>
                <w:color w:val="000000" w:themeColor="text1"/>
              </w:rPr>
              <w:t>7.0</w:t>
            </w:r>
          </w:p>
        </w:tc>
        <w:tc>
          <w:tcPr>
            <w:tcW w:w="1321" w:type="dxa"/>
            <w:tcBorders>
              <w:top w:val="nil"/>
              <w:left w:val="nil"/>
              <w:bottom w:val="nil"/>
              <w:right w:val="nil"/>
            </w:tcBorders>
            <w:vAlign w:val="center"/>
          </w:tcPr>
          <w:p w14:paraId="26879898" w14:textId="77777777" w:rsidR="00473EEA" w:rsidRPr="0084081D" w:rsidRDefault="00473EEA" w:rsidP="00384BA8">
            <w:pPr>
              <w:pStyle w:val="TableBody"/>
              <w:jc w:val="center"/>
              <w:rPr>
                <w:color w:val="000000" w:themeColor="text1"/>
              </w:rPr>
            </w:pPr>
            <w:r w:rsidRPr="0084081D">
              <w:rPr>
                <w:color w:val="000000" w:themeColor="text1"/>
              </w:rPr>
              <w:t>1.5</w:t>
            </w:r>
          </w:p>
        </w:tc>
      </w:tr>
      <w:tr w:rsidR="00473EEA" w14:paraId="77961861"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7F53A2A4" w14:textId="77777777" w:rsidR="00473EEA" w:rsidRPr="006A1061" w:rsidRDefault="00473EEA" w:rsidP="00384BA8">
            <w:pPr>
              <w:pStyle w:val="TableBody"/>
            </w:pPr>
            <w:r w:rsidRPr="006A1061">
              <w:t>UN</w:t>
            </w:r>
          </w:p>
        </w:tc>
        <w:tc>
          <w:tcPr>
            <w:tcW w:w="1710" w:type="dxa"/>
            <w:tcBorders>
              <w:top w:val="nil"/>
              <w:left w:val="nil"/>
              <w:bottom w:val="nil"/>
              <w:right w:val="nil"/>
            </w:tcBorders>
            <w:shd w:val="clear" w:color="auto" w:fill="auto"/>
            <w:noWrap/>
            <w:vAlign w:val="center"/>
            <w:hideMark/>
          </w:tcPr>
          <w:p w14:paraId="469377D2" w14:textId="77777777" w:rsidR="00473EEA" w:rsidRDefault="00473EEA" w:rsidP="00384BA8">
            <w:pPr>
              <w:pStyle w:val="TableBody"/>
            </w:pPr>
            <w:r>
              <w:t>Belgian Congo</w:t>
            </w:r>
          </w:p>
        </w:tc>
        <w:tc>
          <w:tcPr>
            <w:tcW w:w="1360" w:type="dxa"/>
            <w:tcBorders>
              <w:top w:val="nil"/>
              <w:left w:val="nil"/>
              <w:bottom w:val="nil"/>
              <w:right w:val="nil"/>
            </w:tcBorders>
            <w:shd w:val="clear" w:color="auto" w:fill="auto"/>
            <w:noWrap/>
            <w:vAlign w:val="center"/>
          </w:tcPr>
          <w:p w14:paraId="22689213" w14:textId="77777777" w:rsidR="00473EEA" w:rsidRPr="00700C8B" w:rsidRDefault="00473EEA" w:rsidP="00384BA8">
            <w:pPr>
              <w:pStyle w:val="TableBody"/>
              <w:jc w:val="center"/>
              <w:rPr>
                <w:color w:val="000000" w:themeColor="text1"/>
              </w:rPr>
            </w:pPr>
            <w:r w:rsidRPr="00700C8B">
              <w:rPr>
                <w:color w:val="000000" w:themeColor="text1"/>
              </w:rPr>
              <w:t>1960</w:t>
            </w:r>
          </w:p>
        </w:tc>
        <w:tc>
          <w:tcPr>
            <w:tcW w:w="1350" w:type="dxa"/>
            <w:tcBorders>
              <w:top w:val="nil"/>
              <w:left w:val="nil"/>
              <w:bottom w:val="nil"/>
              <w:right w:val="nil"/>
            </w:tcBorders>
            <w:vAlign w:val="center"/>
          </w:tcPr>
          <w:p w14:paraId="20B8B420" w14:textId="77777777" w:rsidR="00473EEA" w:rsidRDefault="00473EEA" w:rsidP="00384BA8">
            <w:pPr>
              <w:pStyle w:val="TableBody"/>
              <w:jc w:val="center"/>
              <w:rPr>
                <w:color w:val="FF0000"/>
              </w:rPr>
            </w:pPr>
            <w:r>
              <w:t>Not free</w:t>
            </w:r>
          </w:p>
        </w:tc>
        <w:tc>
          <w:tcPr>
            <w:tcW w:w="1279" w:type="dxa"/>
            <w:tcBorders>
              <w:top w:val="nil"/>
              <w:left w:val="nil"/>
              <w:bottom w:val="nil"/>
              <w:right w:val="nil"/>
            </w:tcBorders>
            <w:vAlign w:val="center"/>
          </w:tcPr>
          <w:p w14:paraId="68E30591" w14:textId="77777777" w:rsidR="00473EEA" w:rsidRPr="001A6581" w:rsidRDefault="00473EEA" w:rsidP="00384BA8">
            <w:pPr>
              <w:pStyle w:val="TableBody"/>
              <w:jc w:val="center"/>
              <w:rPr>
                <w:color w:val="000000" w:themeColor="text1"/>
              </w:rPr>
            </w:pPr>
            <w:r w:rsidRPr="001A6581">
              <w:rPr>
                <w:color w:val="000000" w:themeColor="text1"/>
              </w:rPr>
              <w:t>6.5</w:t>
            </w:r>
          </w:p>
        </w:tc>
        <w:tc>
          <w:tcPr>
            <w:tcW w:w="1321" w:type="dxa"/>
            <w:tcBorders>
              <w:top w:val="nil"/>
              <w:left w:val="nil"/>
              <w:bottom w:val="nil"/>
              <w:right w:val="nil"/>
            </w:tcBorders>
            <w:vAlign w:val="center"/>
          </w:tcPr>
          <w:p w14:paraId="685972A0" w14:textId="77777777" w:rsidR="00473EEA" w:rsidRPr="0084081D" w:rsidRDefault="00473EEA" w:rsidP="00384BA8">
            <w:pPr>
              <w:pStyle w:val="TableBody"/>
              <w:jc w:val="center"/>
              <w:rPr>
                <w:i/>
                <w:color w:val="000000" w:themeColor="text1"/>
              </w:rPr>
            </w:pPr>
            <w:r w:rsidRPr="0084081D">
              <w:rPr>
                <w:i/>
                <w:color w:val="000000" w:themeColor="text1"/>
              </w:rPr>
              <w:t>6.5 (1998)</w:t>
            </w:r>
          </w:p>
        </w:tc>
        <w:tc>
          <w:tcPr>
            <w:tcW w:w="1321" w:type="dxa"/>
            <w:tcBorders>
              <w:top w:val="nil"/>
              <w:left w:val="nil"/>
              <w:bottom w:val="nil"/>
              <w:right w:val="nil"/>
            </w:tcBorders>
            <w:vAlign w:val="center"/>
          </w:tcPr>
          <w:p w14:paraId="4A8F53FE" w14:textId="77777777" w:rsidR="00473EEA" w:rsidRPr="0084081D" w:rsidRDefault="00473EEA" w:rsidP="00384BA8">
            <w:pPr>
              <w:pStyle w:val="TableBody"/>
              <w:jc w:val="center"/>
              <w:rPr>
                <w:i/>
                <w:color w:val="000000" w:themeColor="text1"/>
              </w:rPr>
            </w:pPr>
            <w:r w:rsidRPr="0084081D">
              <w:rPr>
                <w:i/>
                <w:color w:val="000000" w:themeColor="text1"/>
              </w:rPr>
              <w:t>0.0</w:t>
            </w:r>
          </w:p>
        </w:tc>
      </w:tr>
      <w:tr w:rsidR="00473EEA" w14:paraId="6E38D25B"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54322AA9" w14:textId="77777777" w:rsidR="00473EEA" w:rsidRPr="00694A2B" w:rsidRDefault="00473EEA" w:rsidP="00384BA8">
            <w:pPr>
              <w:pStyle w:val="TableBody"/>
              <w:rPr>
                <w:b/>
                <w:color w:val="FF0000"/>
              </w:rPr>
            </w:pPr>
            <w:r w:rsidRPr="00801FFE">
              <w:t>UN</w:t>
            </w:r>
          </w:p>
        </w:tc>
        <w:tc>
          <w:tcPr>
            <w:tcW w:w="1710" w:type="dxa"/>
            <w:tcBorders>
              <w:top w:val="nil"/>
              <w:left w:val="nil"/>
              <w:bottom w:val="nil"/>
              <w:right w:val="nil"/>
            </w:tcBorders>
            <w:shd w:val="clear" w:color="auto" w:fill="auto"/>
            <w:noWrap/>
            <w:vAlign w:val="center"/>
            <w:hideMark/>
          </w:tcPr>
          <w:p w14:paraId="239B851D" w14:textId="77777777" w:rsidR="00473EEA" w:rsidRDefault="00473EEA" w:rsidP="00384BA8">
            <w:pPr>
              <w:pStyle w:val="TableBody"/>
              <w:rPr>
                <w:sz w:val="24"/>
                <w:szCs w:val="24"/>
              </w:rPr>
            </w:pPr>
            <w:r>
              <w:t>Namibia</w:t>
            </w:r>
          </w:p>
        </w:tc>
        <w:tc>
          <w:tcPr>
            <w:tcW w:w="1360" w:type="dxa"/>
            <w:tcBorders>
              <w:top w:val="nil"/>
              <w:left w:val="nil"/>
              <w:bottom w:val="nil"/>
              <w:right w:val="nil"/>
            </w:tcBorders>
            <w:shd w:val="clear" w:color="auto" w:fill="auto"/>
            <w:noWrap/>
            <w:vAlign w:val="center"/>
          </w:tcPr>
          <w:p w14:paraId="204E7CB5" w14:textId="77777777" w:rsidR="00473EEA" w:rsidRPr="00700C8B" w:rsidRDefault="00473EEA" w:rsidP="00384BA8">
            <w:pPr>
              <w:pStyle w:val="TableBody"/>
              <w:jc w:val="center"/>
              <w:rPr>
                <w:color w:val="000000" w:themeColor="text1"/>
              </w:rPr>
            </w:pPr>
            <w:r w:rsidRPr="00700C8B">
              <w:rPr>
                <w:color w:val="000000" w:themeColor="text1"/>
              </w:rPr>
              <w:t>1989</w:t>
            </w:r>
          </w:p>
        </w:tc>
        <w:tc>
          <w:tcPr>
            <w:tcW w:w="1350" w:type="dxa"/>
            <w:tcBorders>
              <w:top w:val="nil"/>
              <w:left w:val="nil"/>
              <w:bottom w:val="nil"/>
              <w:right w:val="nil"/>
            </w:tcBorders>
            <w:vAlign w:val="center"/>
          </w:tcPr>
          <w:p w14:paraId="7E12F70E" w14:textId="77777777" w:rsidR="00473EEA" w:rsidRDefault="00473EEA" w:rsidP="00384BA8">
            <w:pPr>
              <w:pStyle w:val="TableBody"/>
              <w:jc w:val="center"/>
            </w:pPr>
            <w:r>
              <w:t>Free</w:t>
            </w:r>
          </w:p>
        </w:tc>
        <w:tc>
          <w:tcPr>
            <w:tcW w:w="1279" w:type="dxa"/>
            <w:tcBorders>
              <w:top w:val="nil"/>
              <w:left w:val="nil"/>
              <w:bottom w:val="nil"/>
              <w:right w:val="nil"/>
            </w:tcBorders>
            <w:vAlign w:val="center"/>
          </w:tcPr>
          <w:p w14:paraId="389CC2FB" w14:textId="77777777" w:rsidR="00473EEA" w:rsidRPr="001A6581" w:rsidRDefault="00473EEA" w:rsidP="00384BA8">
            <w:pPr>
              <w:pStyle w:val="TableBody"/>
              <w:jc w:val="center"/>
              <w:rPr>
                <w:color w:val="000000" w:themeColor="text1"/>
              </w:rPr>
            </w:pPr>
            <w:r w:rsidRPr="001A6581">
              <w:rPr>
                <w:color w:val="000000" w:themeColor="text1"/>
              </w:rPr>
              <w:t>2</w:t>
            </w:r>
            <w:r>
              <w:rPr>
                <w:color w:val="000000" w:themeColor="text1"/>
              </w:rPr>
              <w:t>.0</w:t>
            </w:r>
          </w:p>
        </w:tc>
        <w:tc>
          <w:tcPr>
            <w:tcW w:w="1321" w:type="dxa"/>
            <w:tcBorders>
              <w:top w:val="nil"/>
              <w:left w:val="nil"/>
              <w:bottom w:val="nil"/>
              <w:right w:val="nil"/>
            </w:tcBorders>
            <w:vAlign w:val="center"/>
          </w:tcPr>
          <w:p w14:paraId="70F0EA6D" w14:textId="77777777" w:rsidR="00473EEA" w:rsidRPr="0084081D" w:rsidRDefault="00473EEA" w:rsidP="00384BA8">
            <w:pPr>
              <w:pStyle w:val="TableBody"/>
              <w:jc w:val="center"/>
              <w:rPr>
                <w:i/>
                <w:color w:val="000000" w:themeColor="text1"/>
              </w:rPr>
            </w:pPr>
            <w:r w:rsidRPr="0084081D">
              <w:rPr>
                <w:i/>
                <w:color w:val="000000" w:themeColor="text1"/>
              </w:rPr>
              <w:t>2.5 (1999)</w:t>
            </w:r>
          </w:p>
        </w:tc>
        <w:tc>
          <w:tcPr>
            <w:tcW w:w="1321" w:type="dxa"/>
            <w:tcBorders>
              <w:top w:val="nil"/>
              <w:left w:val="nil"/>
              <w:bottom w:val="nil"/>
              <w:right w:val="nil"/>
            </w:tcBorders>
            <w:vAlign w:val="center"/>
          </w:tcPr>
          <w:p w14:paraId="655E503B" w14:textId="77777777" w:rsidR="00473EEA" w:rsidRPr="0084081D" w:rsidRDefault="00473EEA" w:rsidP="00384BA8">
            <w:pPr>
              <w:pStyle w:val="TableBody"/>
              <w:jc w:val="center"/>
              <w:rPr>
                <w:i/>
                <w:color w:val="000000" w:themeColor="text1"/>
              </w:rPr>
            </w:pPr>
            <w:r w:rsidRPr="0084081D">
              <w:rPr>
                <w:i/>
                <w:color w:val="000000" w:themeColor="text1"/>
              </w:rPr>
              <w:t>0.5</w:t>
            </w:r>
          </w:p>
        </w:tc>
      </w:tr>
      <w:tr w:rsidR="00473EEA" w14:paraId="770B8BA9"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14EACE9E" w14:textId="77777777" w:rsidR="00473EEA" w:rsidRPr="00694A2B" w:rsidRDefault="00473EEA" w:rsidP="00384BA8">
            <w:pPr>
              <w:pStyle w:val="TableBody"/>
              <w:rPr>
                <w:b/>
              </w:rPr>
            </w:pPr>
            <w:r w:rsidRPr="00801FFE">
              <w:t>UN</w:t>
            </w:r>
          </w:p>
        </w:tc>
        <w:tc>
          <w:tcPr>
            <w:tcW w:w="1710" w:type="dxa"/>
            <w:tcBorders>
              <w:top w:val="nil"/>
              <w:left w:val="nil"/>
              <w:bottom w:val="nil"/>
              <w:right w:val="nil"/>
            </w:tcBorders>
            <w:shd w:val="clear" w:color="auto" w:fill="auto"/>
            <w:noWrap/>
            <w:vAlign w:val="center"/>
            <w:hideMark/>
          </w:tcPr>
          <w:p w14:paraId="0F054A0F" w14:textId="77777777" w:rsidR="00473EEA" w:rsidRDefault="00473EEA" w:rsidP="00384BA8">
            <w:pPr>
              <w:pStyle w:val="TableBody"/>
              <w:rPr>
                <w:sz w:val="24"/>
                <w:szCs w:val="24"/>
              </w:rPr>
            </w:pPr>
            <w:r>
              <w:t>El Salvador</w:t>
            </w:r>
          </w:p>
        </w:tc>
        <w:tc>
          <w:tcPr>
            <w:tcW w:w="1360" w:type="dxa"/>
            <w:tcBorders>
              <w:top w:val="nil"/>
              <w:left w:val="nil"/>
              <w:bottom w:val="nil"/>
              <w:right w:val="nil"/>
            </w:tcBorders>
            <w:shd w:val="clear" w:color="auto" w:fill="auto"/>
            <w:noWrap/>
            <w:vAlign w:val="center"/>
          </w:tcPr>
          <w:p w14:paraId="58F6DFF0" w14:textId="77777777" w:rsidR="00473EEA" w:rsidRPr="00700C8B" w:rsidRDefault="00473EEA" w:rsidP="00384BA8">
            <w:pPr>
              <w:pStyle w:val="TableBody"/>
              <w:jc w:val="center"/>
              <w:rPr>
                <w:color w:val="000000" w:themeColor="text1"/>
              </w:rPr>
            </w:pPr>
            <w:r w:rsidRPr="00700C8B">
              <w:rPr>
                <w:color w:val="000000" w:themeColor="text1"/>
              </w:rPr>
              <w:t>1991</w:t>
            </w:r>
          </w:p>
        </w:tc>
        <w:tc>
          <w:tcPr>
            <w:tcW w:w="1350" w:type="dxa"/>
            <w:tcBorders>
              <w:top w:val="nil"/>
              <w:left w:val="nil"/>
              <w:bottom w:val="nil"/>
              <w:right w:val="nil"/>
            </w:tcBorders>
            <w:vAlign w:val="center"/>
          </w:tcPr>
          <w:p w14:paraId="11F9E6C3" w14:textId="77777777" w:rsidR="00473EEA" w:rsidRDefault="00473EEA" w:rsidP="00384BA8">
            <w:pPr>
              <w:pStyle w:val="TableBody"/>
              <w:jc w:val="center"/>
            </w:pPr>
            <w:r>
              <w:t>Free</w:t>
            </w:r>
          </w:p>
        </w:tc>
        <w:tc>
          <w:tcPr>
            <w:tcW w:w="1279" w:type="dxa"/>
            <w:tcBorders>
              <w:top w:val="nil"/>
              <w:left w:val="nil"/>
              <w:bottom w:val="nil"/>
              <w:right w:val="nil"/>
            </w:tcBorders>
            <w:vAlign w:val="center"/>
          </w:tcPr>
          <w:p w14:paraId="3B1681E2" w14:textId="77777777" w:rsidR="00473EEA" w:rsidRPr="001A6581" w:rsidRDefault="00473EEA" w:rsidP="00384BA8">
            <w:pPr>
              <w:pStyle w:val="TableBody"/>
              <w:jc w:val="center"/>
              <w:rPr>
                <w:color w:val="000000" w:themeColor="text1"/>
              </w:rPr>
            </w:pPr>
            <w:r w:rsidRPr="001A6581">
              <w:rPr>
                <w:color w:val="000000" w:themeColor="text1"/>
              </w:rPr>
              <w:t>2.5</w:t>
            </w:r>
          </w:p>
        </w:tc>
        <w:tc>
          <w:tcPr>
            <w:tcW w:w="1321" w:type="dxa"/>
            <w:tcBorders>
              <w:top w:val="nil"/>
              <w:left w:val="nil"/>
              <w:bottom w:val="nil"/>
              <w:right w:val="nil"/>
            </w:tcBorders>
            <w:vAlign w:val="center"/>
          </w:tcPr>
          <w:p w14:paraId="69819A09" w14:textId="77777777" w:rsidR="00473EEA" w:rsidRPr="0084081D" w:rsidRDefault="00473EEA" w:rsidP="00384BA8">
            <w:pPr>
              <w:pStyle w:val="TableBody"/>
              <w:jc w:val="center"/>
              <w:rPr>
                <w:i/>
                <w:color w:val="000000" w:themeColor="text1"/>
              </w:rPr>
            </w:pPr>
            <w:r w:rsidRPr="0084081D">
              <w:rPr>
                <w:i/>
                <w:color w:val="000000" w:themeColor="text1"/>
              </w:rPr>
              <w:t>2.5 (1999)</w:t>
            </w:r>
          </w:p>
        </w:tc>
        <w:tc>
          <w:tcPr>
            <w:tcW w:w="1321" w:type="dxa"/>
            <w:tcBorders>
              <w:top w:val="nil"/>
              <w:left w:val="nil"/>
              <w:bottom w:val="nil"/>
              <w:right w:val="nil"/>
            </w:tcBorders>
            <w:vAlign w:val="center"/>
          </w:tcPr>
          <w:p w14:paraId="2BFF2A6E" w14:textId="77777777" w:rsidR="00473EEA" w:rsidRPr="0084081D" w:rsidRDefault="00473EEA" w:rsidP="00384BA8">
            <w:pPr>
              <w:pStyle w:val="TableBody"/>
              <w:jc w:val="center"/>
              <w:rPr>
                <w:i/>
                <w:color w:val="000000" w:themeColor="text1"/>
              </w:rPr>
            </w:pPr>
            <w:r w:rsidRPr="0084081D">
              <w:rPr>
                <w:i/>
                <w:color w:val="000000" w:themeColor="text1"/>
              </w:rPr>
              <w:t>0.0</w:t>
            </w:r>
          </w:p>
        </w:tc>
      </w:tr>
      <w:tr w:rsidR="00473EEA" w14:paraId="42E5D778"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10F9BA19" w14:textId="77777777" w:rsidR="00473EEA" w:rsidRPr="00694A2B" w:rsidRDefault="00473EEA" w:rsidP="00384BA8">
            <w:pPr>
              <w:pStyle w:val="TableBody"/>
              <w:rPr>
                <w:b/>
              </w:rPr>
            </w:pPr>
            <w:r w:rsidRPr="00801FFE">
              <w:t>UN</w:t>
            </w:r>
          </w:p>
        </w:tc>
        <w:tc>
          <w:tcPr>
            <w:tcW w:w="1710" w:type="dxa"/>
            <w:tcBorders>
              <w:top w:val="nil"/>
              <w:left w:val="nil"/>
              <w:bottom w:val="nil"/>
              <w:right w:val="nil"/>
            </w:tcBorders>
            <w:shd w:val="clear" w:color="auto" w:fill="auto"/>
            <w:noWrap/>
            <w:vAlign w:val="center"/>
            <w:hideMark/>
          </w:tcPr>
          <w:p w14:paraId="5765138B" w14:textId="77777777" w:rsidR="00473EEA" w:rsidRDefault="00473EEA" w:rsidP="00384BA8">
            <w:pPr>
              <w:pStyle w:val="TableBody"/>
              <w:rPr>
                <w:sz w:val="24"/>
                <w:szCs w:val="24"/>
              </w:rPr>
            </w:pPr>
            <w:r>
              <w:t>Cambodia</w:t>
            </w:r>
          </w:p>
        </w:tc>
        <w:tc>
          <w:tcPr>
            <w:tcW w:w="1360" w:type="dxa"/>
            <w:tcBorders>
              <w:top w:val="nil"/>
              <w:left w:val="nil"/>
              <w:bottom w:val="nil"/>
              <w:right w:val="nil"/>
            </w:tcBorders>
            <w:shd w:val="clear" w:color="auto" w:fill="auto"/>
            <w:noWrap/>
            <w:vAlign w:val="center"/>
          </w:tcPr>
          <w:p w14:paraId="5BAB99C1" w14:textId="77777777" w:rsidR="00473EEA" w:rsidRPr="00700C8B" w:rsidRDefault="00473EEA" w:rsidP="00384BA8">
            <w:pPr>
              <w:pStyle w:val="TableBody"/>
              <w:jc w:val="center"/>
              <w:rPr>
                <w:color w:val="000000" w:themeColor="text1"/>
              </w:rPr>
            </w:pPr>
            <w:r w:rsidRPr="00700C8B">
              <w:rPr>
                <w:color w:val="000000" w:themeColor="text1"/>
              </w:rPr>
              <w:t>1991</w:t>
            </w:r>
          </w:p>
        </w:tc>
        <w:tc>
          <w:tcPr>
            <w:tcW w:w="1350" w:type="dxa"/>
            <w:tcBorders>
              <w:top w:val="nil"/>
              <w:left w:val="nil"/>
              <w:bottom w:val="nil"/>
              <w:right w:val="nil"/>
            </w:tcBorders>
            <w:vAlign w:val="center"/>
          </w:tcPr>
          <w:p w14:paraId="61366E48" w14:textId="77777777" w:rsidR="00473EEA" w:rsidRDefault="00473EEA" w:rsidP="00384BA8">
            <w:pPr>
              <w:pStyle w:val="TableBody"/>
              <w:jc w:val="center"/>
            </w:pPr>
            <w:r>
              <w:t>Not free</w:t>
            </w:r>
          </w:p>
        </w:tc>
        <w:tc>
          <w:tcPr>
            <w:tcW w:w="1279" w:type="dxa"/>
            <w:tcBorders>
              <w:top w:val="nil"/>
              <w:left w:val="nil"/>
              <w:bottom w:val="nil"/>
              <w:right w:val="nil"/>
            </w:tcBorders>
            <w:vAlign w:val="center"/>
          </w:tcPr>
          <w:p w14:paraId="0031B2F3" w14:textId="77777777" w:rsidR="00473EEA" w:rsidRPr="001A6581" w:rsidRDefault="00473EEA" w:rsidP="00384BA8">
            <w:pPr>
              <w:pStyle w:val="TableBody"/>
              <w:jc w:val="center"/>
              <w:rPr>
                <w:color w:val="000000" w:themeColor="text1"/>
              </w:rPr>
            </w:pPr>
            <w:r w:rsidRPr="001A6581">
              <w:rPr>
                <w:color w:val="000000" w:themeColor="text1"/>
              </w:rPr>
              <w:t>5.5</w:t>
            </w:r>
          </w:p>
        </w:tc>
        <w:tc>
          <w:tcPr>
            <w:tcW w:w="1321" w:type="dxa"/>
            <w:tcBorders>
              <w:top w:val="nil"/>
              <w:left w:val="nil"/>
              <w:bottom w:val="nil"/>
              <w:right w:val="nil"/>
            </w:tcBorders>
            <w:vAlign w:val="center"/>
          </w:tcPr>
          <w:p w14:paraId="0DAAD23F" w14:textId="77777777" w:rsidR="00473EEA" w:rsidRPr="0084081D" w:rsidRDefault="00473EEA" w:rsidP="00384BA8">
            <w:pPr>
              <w:pStyle w:val="TableBody"/>
              <w:jc w:val="center"/>
              <w:rPr>
                <w:i/>
                <w:color w:val="000000" w:themeColor="text1"/>
              </w:rPr>
            </w:pPr>
            <w:r w:rsidRPr="0084081D">
              <w:rPr>
                <w:i/>
                <w:color w:val="000000" w:themeColor="text1"/>
              </w:rPr>
              <w:t>6.0 (1998)</w:t>
            </w:r>
          </w:p>
        </w:tc>
        <w:tc>
          <w:tcPr>
            <w:tcW w:w="1321" w:type="dxa"/>
            <w:tcBorders>
              <w:top w:val="nil"/>
              <w:left w:val="nil"/>
              <w:bottom w:val="nil"/>
              <w:right w:val="nil"/>
            </w:tcBorders>
            <w:vAlign w:val="center"/>
          </w:tcPr>
          <w:p w14:paraId="6D5076AE" w14:textId="77777777" w:rsidR="00473EEA" w:rsidRPr="0084081D" w:rsidRDefault="00473EEA" w:rsidP="00384BA8">
            <w:pPr>
              <w:pStyle w:val="TableBody"/>
              <w:jc w:val="center"/>
              <w:rPr>
                <w:i/>
                <w:color w:val="000000" w:themeColor="text1"/>
              </w:rPr>
            </w:pPr>
            <w:r w:rsidRPr="0084081D">
              <w:rPr>
                <w:i/>
                <w:color w:val="000000" w:themeColor="text1"/>
              </w:rPr>
              <w:t>0.5</w:t>
            </w:r>
          </w:p>
        </w:tc>
      </w:tr>
      <w:tr w:rsidR="00473EEA" w14:paraId="75978DB5"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0687F5FB" w14:textId="77777777" w:rsidR="00473EEA" w:rsidRPr="00694A2B" w:rsidRDefault="00473EEA" w:rsidP="00384BA8">
            <w:pPr>
              <w:pStyle w:val="TableBody"/>
              <w:rPr>
                <w:b/>
              </w:rPr>
            </w:pPr>
            <w:r w:rsidRPr="00801FFE">
              <w:t>UN</w:t>
            </w:r>
          </w:p>
        </w:tc>
        <w:tc>
          <w:tcPr>
            <w:tcW w:w="1710" w:type="dxa"/>
            <w:tcBorders>
              <w:top w:val="nil"/>
              <w:left w:val="nil"/>
              <w:bottom w:val="nil"/>
              <w:right w:val="nil"/>
            </w:tcBorders>
            <w:shd w:val="clear" w:color="auto" w:fill="auto"/>
            <w:noWrap/>
            <w:vAlign w:val="center"/>
            <w:hideMark/>
          </w:tcPr>
          <w:p w14:paraId="28F45A6D" w14:textId="77777777" w:rsidR="00473EEA" w:rsidRDefault="00473EEA" w:rsidP="00384BA8">
            <w:pPr>
              <w:pStyle w:val="TableBody"/>
              <w:rPr>
                <w:sz w:val="24"/>
                <w:szCs w:val="24"/>
              </w:rPr>
            </w:pPr>
            <w:r>
              <w:t>Mozambique</w:t>
            </w:r>
          </w:p>
        </w:tc>
        <w:tc>
          <w:tcPr>
            <w:tcW w:w="1360" w:type="dxa"/>
            <w:tcBorders>
              <w:top w:val="nil"/>
              <w:left w:val="nil"/>
              <w:bottom w:val="nil"/>
              <w:right w:val="nil"/>
            </w:tcBorders>
            <w:shd w:val="clear" w:color="auto" w:fill="auto"/>
            <w:noWrap/>
            <w:vAlign w:val="center"/>
          </w:tcPr>
          <w:p w14:paraId="413DE2EF" w14:textId="77777777" w:rsidR="00473EEA" w:rsidRPr="00700C8B" w:rsidRDefault="00473EEA" w:rsidP="00384BA8">
            <w:pPr>
              <w:pStyle w:val="TableBody"/>
              <w:jc w:val="center"/>
              <w:rPr>
                <w:color w:val="000000" w:themeColor="text1"/>
              </w:rPr>
            </w:pPr>
            <w:r w:rsidRPr="00700C8B">
              <w:rPr>
                <w:color w:val="000000" w:themeColor="text1"/>
              </w:rPr>
              <w:t>1992</w:t>
            </w:r>
          </w:p>
        </w:tc>
        <w:tc>
          <w:tcPr>
            <w:tcW w:w="1350" w:type="dxa"/>
            <w:tcBorders>
              <w:top w:val="nil"/>
              <w:left w:val="nil"/>
              <w:bottom w:val="nil"/>
              <w:right w:val="nil"/>
            </w:tcBorders>
            <w:vAlign w:val="center"/>
          </w:tcPr>
          <w:p w14:paraId="7E37D4C5"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3EEA83A0" w14:textId="77777777" w:rsidR="00473EEA" w:rsidRPr="001A6581" w:rsidRDefault="00473EEA" w:rsidP="00384BA8">
            <w:pPr>
              <w:pStyle w:val="TableBody"/>
              <w:jc w:val="center"/>
              <w:rPr>
                <w:color w:val="000000" w:themeColor="text1"/>
              </w:rPr>
            </w:pPr>
            <w:r w:rsidRPr="001A6581">
              <w:rPr>
                <w:color w:val="000000" w:themeColor="text1"/>
              </w:rPr>
              <w:t>4</w:t>
            </w:r>
            <w:r>
              <w:rPr>
                <w:color w:val="000000" w:themeColor="text1"/>
              </w:rPr>
              <w:t>.0</w:t>
            </w:r>
          </w:p>
        </w:tc>
        <w:tc>
          <w:tcPr>
            <w:tcW w:w="1321" w:type="dxa"/>
            <w:tcBorders>
              <w:top w:val="nil"/>
              <w:left w:val="nil"/>
              <w:bottom w:val="nil"/>
              <w:right w:val="nil"/>
            </w:tcBorders>
            <w:vAlign w:val="center"/>
          </w:tcPr>
          <w:p w14:paraId="45C866EB" w14:textId="77777777" w:rsidR="00473EEA" w:rsidRPr="0084081D" w:rsidRDefault="00473EEA" w:rsidP="00384BA8">
            <w:pPr>
              <w:pStyle w:val="TableBody"/>
              <w:jc w:val="center"/>
              <w:rPr>
                <w:i/>
                <w:color w:val="000000" w:themeColor="text1"/>
              </w:rPr>
            </w:pPr>
            <w:r w:rsidRPr="0084081D">
              <w:rPr>
                <w:i/>
                <w:color w:val="000000" w:themeColor="text1"/>
              </w:rPr>
              <w:t>3.5 (1999)</w:t>
            </w:r>
          </w:p>
        </w:tc>
        <w:tc>
          <w:tcPr>
            <w:tcW w:w="1321" w:type="dxa"/>
            <w:tcBorders>
              <w:top w:val="nil"/>
              <w:left w:val="nil"/>
              <w:bottom w:val="nil"/>
              <w:right w:val="nil"/>
            </w:tcBorders>
            <w:vAlign w:val="center"/>
          </w:tcPr>
          <w:p w14:paraId="34211E63" w14:textId="77777777" w:rsidR="00473EEA" w:rsidRPr="0084081D" w:rsidRDefault="00473EEA" w:rsidP="00384BA8">
            <w:pPr>
              <w:pStyle w:val="TableBody"/>
              <w:jc w:val="center"/>
              <w:rPr>
                <w:i/>
                <w:color w:val="000000" w:themeColor="text1"/>
              </w:rPr>
            </w:pPr>
            <w:r>
              <w:rPr>
                <w:i/>
                <w:color w:val="000000" w:themeColor="text1"/>
              </w:rPr>
              <w:t>–</w:t>
            </w:r>
            <w:r w:rsidRPr="0084081D">
              <w:rPr>
                <w:i/>
                <w:color w:val="000000" w:themeColor="text1"/>
              </w:rPr>
              <w:t>0.5</w:t>
            </w:r>
          </w:p>
        </w:tc>
      </w:tr>
      <w:tr w:rsidR="00473EEA" w14:paraId="7E5C5945"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52245F79" w14:textId="77777777" w:rsidR="00473EEA" w:rsidRPr="00694A2B" w:rsidRDefault="00473EEA" w:rsidP="00384BA8">
            <w:pPr>
              <w:pStyle w:val="TableBody"/>
              <w:rPr>
                <w:b/>
              </w:rPr>
            </w:pPr>
            <w:r w:rsidRPr="00801FFE">
              <w:t>UN</w:t>
            </w:r>
          </w:p>
        </w:tc>
        <w:tc>
          <w:tcPr>
            <w:tcW w:w="1710" w:type="dxa"/>
            <w:tcBorders>
              <w:top w:val="nil"/>
              <w:left w:val="nil"/>
              <w:bottom w:val="nil"/>
              <w:right w:val="nil"/>
            </w:tcBorders>
            <w:shd w:val="clear" w:color="auto" w:fill="auto"/>
            <w:noWrap/>
            <w:vAlign w:val="center"/>
            <w:hideMark/>
          </w:tcPr>
          <w:p w14:paraId="586F9593" w14:textId="77777777" w:rsidR="00473EEA" w:rsidRDefault="00473EEA" w:rsidP="00384BA8">
            <w:pPr>
              <w:pStyle w:val="TableBody"/>
              <w:rPr>
                <w:sz w:val="24"/>
                <w:szCs w:val="24"/>
              </w:rPr>
            </w:pPr>
            <w:r>
              <w:t>Eastern Slavonia</w:t>
            </w:r>
          </w:p>
        </w:tc>
        <w:tc>
          <w:tcPr>
            <w:tcW w:w="1360" w:type="dxa"/>
            <w:tcBorders>
              <w:top w:val="nil"/>
              <w:left w:val="nil"/>
              <w:bottom w:val="nil"/>
              <w:right w:val="nil"/>
            </w:tcBorders>
            <w:shd w:val="clear" w:color="auto" w:fill="auto"/>
            <w:noWrap/>
            <w:vAlign w:val="center"/>
          </w:tcPr>
          <w:p w14:paraId="4BCA0277" w14:textId="77777777" w:rsidR="00473EEA" w:rsidRPr="00700C8B" w:rsidRDefault="00473EEA" w:rsidP="00384BA8">
            <w:pPr>
              <w:pStyle w:val="TableBody"/>
              <w:jc w:val="center"/>
              <w:rPr>
                <w:color w:val="000000" w:themeColor="text1"/>
              </w:rPr>
            </w:pPr>
            <w:r w:rsidRPr="00700C8B">
              <w:rPr>
                <w:color w:val="000000" w:themeColor="text1"/>
              </w:rPr>
              <w:t>1996</w:t>
            </w:r>
          </w:p>
        </w:tc>
        <w:tc>
          <w:tcPr>
            <w:tcW w:w="1350" w:type="dxa"/>
            <w:tcBorders>
              <w:top w:val="nil"/>
              <w:left w:val="nil"/>
              <w:bottom w:val="nil"/>
              <w:right w:val="nil"/>
            </w:tcBorders>
            <w:vAlign w:val="center"/>
          </w:tcPr>
          <w:p w14:paraId="1FCD75CF" w14:textId="77777777" w:rsidR="00473EEA" w:rsidRDefault="00473EEA" w:rsidP="00384BA8">
            <w:pPr>
              <w:pStyle w:val="TableBody"/>
              <w:jc w:val="center"/>
            </w:pPr>
            <w:r>
              <w:t>Free</w:t>
            </w:r>
          </w:p>
        </w:tc>
        <w:tc>
          <w:tcPr>
            <w:tcW w:w="1279" w:type="dxa"/>
            <w:tcBorders>
              <w:top w:val="nil"/>
              <w:left w:val="nil"/>
              <w:bottom w:val="nil"/>
              <w:right w:val="nil"/>
            </w:tcBorders>
            <w:vAlign w:val="center"/>
          </w:tcPr>
          <w:p w14:paraId="282D533A" w14:textId="77777777" w:rsidR="00473EEA" w:rsidRPr="001A6581" w:rsidRDefault="00473EEA" w:rsidP="00384BA8">
            <w:pPr>
              <w:pStyle w:val="TableBody"/>
              <w:jc w:val="center"/>
              <w:rPr>
                <w:color w:val="000000" w:themeColor="text1"/>
              </w:rPr>
            </w:pPr>
            <w:r w:rsidRPr="001A6581">
              <w:rPr>
                <w:color w:val="000000" w:themeColor="text1"/>
              </w:rPr>
              <w:t>1.5</w:t>
            </w:r>
          </w:p>
        </w:tc>
        <w:tc>
          <w:tcPr>
            <w:tcW w:w="1321" w:type="dxa"/>
            <w:tcBorders>
              <w:top w:val="nil"/>
              <w:left w:val="nil"/>
              <w:bottom w:val="nil"/>
              <w:right w:val="nil"/>
            </w:tcBorders>
            <w:vAlign w:val="center"/>
          </w:tcPr>
          <w:p w14:paraId="6DDEA76B" w14:textId="77777777" w:rsidR="00473EEA" w:rsidRPr="0084081D" w:rsidRDefault="00473EEA" w:rsidP="00384BA8">
            <w:pPr>
              <w:pStyle w:val="TableBody"/>
              <w:jc w:val="center"/>
              <w:rPr>
                <w:i/>
                <w:color w:val="000000" w:themeColor="text1"/>
              </w:rPr>
            </w:pPr>
            <w:r w:rsidRPr="0084081D">
              <w:rPr>
                <w:i/>
                <w:color w:val="000000" w:themeColor="text1"/>
              </w:rPr>
              <w:t>4.0 (1998)</w:t>
            </w:r>
          </w:p>
        </w:tc>
        <w:tc>
          <w:tcPr>
            <w:tcW w:w="1321" w:type="dxa"/>
            <w:tcBorders>
              <w:top w:val="nil"/>
              <w:left w:val="nil"/>
              <w:bottom w:val="nil"/>
              <w:right w:val="nil"/>
            </w:tcBorders>
            <w:vAlign w:val="center"/>
          </w:tcPr>
          <w:p w14:paraId="11C99B6D" w14:textId="77777777" w:rsidR="00473EEA" w:rsidRPr="0084081D" w:rsidRDefault="00473EEA" w:rsidP="00384BA8">
            <w:pPr>
              <w:pStyle w:val="TableBody"/>
              <w:jc w:val="center"/>
              <w:rPr>
                <w:i/>
                <w:color w:val="000000" w:themeColor="text1"/>
              </w:rPr>
            </w:pPr>
            <w:r w:rsidRPr="0084081D">
              <w:rPr>
                <w:i/>
                <w:color w:val="000000" w:themeColor="text1"/>
              </w:rPr>
              <w:t>2.5</w:t>
            </w:r>
          </w:p>
        </w:tc>
      </w:tr>
      <w:tr w:rsidR="00473EEA" w14:paraId="38010D73"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37D9A081" w14:textId="77777777" w:rsidR="00473EEA" w:rsidRPr="00694A2B" w:rsidRDefault="00473EEA" w:rsidP="00384BA8">
            <w:pPr>
              <w:pStyle w:val="TableBody"/>
              <w:rPr>
                <w:b/>
              </w:rPr>
            </w:pPr>
            <w:r w:rsidRPr="00801FFE">
              <w:t>UN</w:t>
            </w:r>
          </w:p>
        </w:tc>
        <w:tc>
          <w:tcPr>
            <w:tcW w:w="1710" w:type="dxa"/>
            <w:tcBorders>
              <w:top w:val="nil"/>
              <w:left w:val="nil"/>
              <w:bottom w:val="nil"/>
              <w:right w:val="nil"/>
            </w:tcBorders>
            <w:shd w:val="clear" w:color="auto" w:fill="auto"/>
            <w:noWrap/>
            <w:vAlign w:val="center"/>
            <w:hideMark/>
          </w:tcPr>
          <w:p w14:paraId="32EF5932" w14:textId="77777777" w:rsidR="00473EEA" w:rsidRDefault="00473EEA" w:rsidP="00384BA8">
            <w:pPr>
              <w:pStyle w:val="TableBody"/>
              <w:rPr>
                <w:sz w:val="24"/>
                <w:szCs w:val="24"/>
              </w:rPr>
            </w:pPr>
            <w:r>
              <w:t>East Timor</w:t>
            </w:r>
          </w:p>
        </w:tc>
        <w:tc>
          <w:tcPr>
            <w:tcW w:w="1360" w:type="dxa"/>
            <w:tcBorders>
              <w:top w:val="nil"/>
              <w:left w:val="nil"/>
              <w:bottom w:val="nil"/>
              <w:right w:val="nil"/>
            </w:tcBorders>
            <w:shd w:val="clear" w:color="auto" w:fill="auto"/>
            <w:noWrap/>
            <w:vAlign w:val="center"/>
          </w:tcPr>
          <w:p w14:paraId="233D8EF5" w14:textId="77777777" w:rsidR="00473EEA" w:rsidRPr="00700C8B" w:rsidRDefault="00473EEA" w:rsidP="00384BA8">
            <w:pPr>
              <w:pStyle w:val="TableBody"/>
              <w:jc w:val="center"/>
              <w:rPr>
                <w:color w:val="000000" w:themeColor="text1"/>
              </w:rPr>
            </w:pPr>
            <w:r w:rsidRPr="00700C8B">
              <w:rPr>
                <w:color w:val="000000" w:themeColor="text1"/>
              </w:rPr>
              <w:t>1999</w:t>
            </w:r>
          </w:p>
        </w:tc>
        <w:tc>
          <w:tcPr>
            <w:tcW w:w="1350" w:type="dxa"/>
            <w:tcBorders>
              <w:top w:val="nil"/>
              <w:left w:val="nil"/>
              <w:bottom w:val="nil"/>
              <w:right w:val="nil"/>
            </w:tcBorders>
            <w:vAlign w:val="center"/>
          </w:tcPr>
          <w:p w14:paraId="0BA224E6" w14:textId="77777777" w:rsidR="00473EEA" w:rsidRDefault="00473EEA" w:rsidP="00384BA8">
            <w:pPr>
              <w:pStyle w:val="TableBody"/>
              <w:jc w:val="center"/>
            </w:pPr>
            <w:r>
              <w:t>Free</w:t>
            </w:r>
          </w:p>
        </w:tc>
        <w:tc>
          <w:tcPr>
            <w:tcW w:w="1279" w:type="dxa"/>
            <w:tcBorders>
              <w:top w:val="nil"/>
              <w:left w:val="nil"/>
              <w:bottom w:val="nil"/>
              <w:right w:val="nil"/>
            </w:tcBorders>
            <w:vAlign w:val="center"/>
          </w:tcPr>
          <w:p w14:paraId="666E4180" w14:textId="77777777" w:rsidR="00473EEA" w:rsidRPr="001A6581" w:rsidRDefault="00473EEA" w:rsidP="00384BA8">
            <w:pPr>
              <w:pStyle w:val="TableBody"/>
              <w:jc w:val="center"/>
              <w:rPr>
                <w:color w:val="000000" w:themeColor="text1"/>
              </w:rPr>
            </w:pPr>
            <w:r w:rsidRPr="001A6581">
              <w:rPr>
                <w:color w:val="000000" w:themeColor="text1"/>
              </w:rPr>
              <w:t>2.5</w:t>
            </w:r>
          </w:p>
        </w:tc>
        <w:tc>
          <w:tcPr>
            <w:tcW w:w="1321" w:type="dxa"/>
            <w:tcBorders>
              <w:top w:val="nil"/>
              <w:left w:val="nil"/>
              <w:bottom w:val="nil"/>
              <w:right w:val="nil"/>
            </w:tcBorders>
            <w:vAlign w:val="center"/>
          </w:tcPr>
          <w:p w14:paraId="2ED3C350" w14:textId="77777777" w:rsidR="00473EEA" w:rsidRPr="0084081D" w:rsidRDefault="00473EEA" w:rsidP="00384BA8">
            <w:pPr>
              <w:pStyle w:val="TableBody"/>
              <w:jc w:val="center"/>
              <w:rPr>
                <w:color w:val="000000" w:themeColor="text1"/>
              </w:rPr>
            </w:pPr>
            <w:r w:rsidRPr="0084081D">
              <w:rPr>
                <w:color w:val="000000" w:themeColor="text1"/>
              </w:rPr>
              <w:t>5.0</w:t>
            </w:r>
          </w:p>
        </w:tc>
        <w:tc>
          <w:tcPr>
            <w:tcW w:w="1321" w:type="dxa"/>
            <w:tcBorders>
              <w:top w:val="nil"/>
              <w:left w:val="nil"/>
              <w:bottom w:val="nil"/>
              <w:right w:val="nil"/>
            </w:tcBorders>
            <w:vAlign w:val="center"/>
          </w:tcPr>
          <w:p w14:paraId="0CF8988D" w14:textId="77777777" w:rsidR="00473EEA" w:rsidRPr="0084081D" w:rsidRDefault="00473EEA" w:rsidP="00384BA8">
            <w:pPr>
              <w:pStyle w:val="TableBody"/>
              <w:jc w:val="center"/>
              <w:rPr>
                <w:color w:val="000000" w:themeColor="text1"/>
              </w:rPr>
            </w:pPr>
            <w:r w:rsidRPr="0084081D">
              <w:rPr>
                <w:color w:val="000000" w:themeColor="text1"/>
              </w:rPr>
              <w:t>2.5</w:t>
            </w:r>
          </w:p>
        </w:tc>
      </w:tr>
      <w:tr w:rsidR="00473EEA" w14:paraId="1446C2FB"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1B6DBF69" w14:textId="77777777" w:rsidR="00473EEA" w:rsidRPr="006A1061" w:rsidRDefault="00473EEA" w:rsidP="00384BA8">
            <w:pPr>
              <w:pStyle w:val="TableBody"/>
            </w:pPr>
            <w:r w:rsidRPr="006A1061">
              <w:t>EUR</w:t>
            </w:r>
          </w:p>
        </w:tc>
        <w:tc>
          <w:tcPr>
            <w:tcW w:w="1710" w:type="dxa"/>
            <w:tcBorders>
              <w:top w:val="nil"/>
              <w:left w:val="nil"/>
              <w:bottom w:val="nil"/>
              <w:right w:val="nil"/>
            </w:tcBorders>
            <w:shd w:val="clear" w:color="auto" w:fill="auto"/>
            <w:noWrap/>
            <w:vAlign w:val="center"/>
            <w:hideMark/>
          </w:tcPr>
          <w:p w14:paraId="5C54CF52" w14:textId="77777777" w:rsidR="00473EEA" w:rsidRDefault="00473EEA" w:rsidP="00384BA8">
            <w:pPr>
              <w:pStyle w:val="TableBody"/>
            </w:pPr>
            <w:r>
              <w:t>Albania</w:t>
            </w:r>
          </w:p>
        </w:tc>
        <w:tc>
          <w:tcPr>
            <w:tcW w:w="1360" w:type="dxa"/>
            <w:tcBorders>
              <w:top w:val="nil"/>
              <w:left w:val="nil"/>
              <w:bottom w:val="nil"/>
              <w:right w:val="nil"/>
            </w:tcBorders>
            <w:shd w:val="clear" w:color="auto" w:fill="auto"/>
            <w:noWrap/>
            <w:vAlign w:val="center"/>
          </w:tcPr>
          <w:p w14:paraId="3CA27520" w14:textId="77777777" w:rsidR="00473EEA" w:rsidRPr="00700C8B" w:rsidRDefault="00473EEA" w:rsidP="00384BA8">
            <w:pPr>
              <w:pStyle w:val="TableBody"/>
              <w:jc w:val="center"/>
              <w:rPr>
                <w:color w:val="000000" w:themeColor="text1"/>
              </w:rPr>
            </w:pPr>
            <w:r w:rsidRPr="00700C8B">
              <w:rPr>
                <w:color w:val="000000" w:themeColor="text1"/>
              </w:rPr>
              <w:t>1997</w:t>
            </w:r>
          </w:p>
        </w:tc>
        <w:tc>
          <w:tcPr>
            <w:tcW w:w="1350" w:type="dxa"/>
            <w:tcBorders>
              <w:top w:val="nil"/>
              <w:left w:val="nil"/>
              <w:bottom w:val="nil"/>
              <w:right w:val="nil"/>
            </w:tcBorders>
            <w:vAlign w:val="center"/>
          </w:tcPr>
          <w:p w14:paraId="3F741B86"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6450C7C8" w14:textId="77777777" w:rsidR="00473EEA" w:rsidRPr="001A6581" w:rsidRDefault="00473EEA" w:rsidP="00384BA8">
            <w:pPr>
              <w:pStyle w:val="TableBody"/>
              <w:jc w:val="center"/>
              <w:rPr>
                <w:color w:val="000000" w:themeColor="text1"/>
              </w:rPr>
            </w:pPr>
            <w:r w:rsidRPr="001A6581">
              <w:rPr>
                <w:color w:val="000000" w:themeColor="text1"/>
              </w:rPr>
              <w:t>3</w:t>
            </w:r>
            <w:r>
              <w:rPr>
                <w:color w:val="000000" w:themeColor="text1"/>
              </w:rPr>
              <w:t>.0</w:t>
            </w:r>
          </w:p>
        </w:tc>
        <w:tc>
          <w:tcPr>
            <w:tcW w:w="1321" w:type="dxa"/>
            <w:tcBorders>
              <w:top w:val="nil"/>
              <w:left w:val="nil"/>
              <w:bottom w:val="nil"/>
              <w:right w:val="nil"/>
            </w:tcBorders>
            <w:vAlign w:val="center"/>
          </w:tcPr>
          <w:p w14:paraId="0A0D3746" w14:textId="77777777" w:rsidR="00473EEA" w:rsidRPr="0084081D" w:rsidRDefault="00473EEA" w:rsidP="00384BA8">
            <w:pPr>
              <w:pStyle w:val="TableBody"/>
              <w:jc w:val="center"/>
              <w:rPr>
                <w:i/>
                <w:color w:val="000000" w:themeColor="text1"/>
              </w:rPr>
            </w:pPr>
            <w:r w:rsidRPr="0084081D">
              <w:rPr>
                <w:i/>
                <w:color w:val="000000" w:themeColor="text1"/>
              </w:rPr>
              <w:t>4.5 (1998)</w:t>
            </w:r>
          </w:p>
        </w:tc>
        <w:tc>
          <w:tcPr>
            <w:tcW w:w="1321" w:type="dxa"/>
            <w:tcBorders>
              <w:top w:val="nil"/>
              <w:left w:val="nil"/>
              <w:bottom w:val="nil"/>
              <w:right w:val="nil"/>
            </w:tcBorders>
            <w:vAlign w:val="center"/>
          </w:tcPr>
          <w:p w14:paraId="380E3652" w14:textId="77777777" w:rsidR="00473EEA" w:rsidRPr="0084081D" w:rsidRDefault="00473EEA" w:rsidP="00384BA8">
            <w:pPr>
              <w:pStyle w:val="TableBody"/>
              <w:jc w:val="center"/>
              <w:rPr>
                <w:i/>
                <w:color w:val="000000" w:themeColor="text1"/>
              </w:rPr>
            </w:pPr>
            <w:r w:rsidRPr="0084081D">
              <w:rPr>
                <w:i/>
                <w:color w:val="000000" w:themeColor="text1"/>
              </w:rPr>
              <w:t>1.5</w:t>
            </w:r>
          </w:p>
        </w:tc>
      </w:tr>
      <w:tr w:rsidR="00473EEA" w14:paraId="30D1CDF2"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79B2CCD4" w14:textId="77777777" w:rsidR="00473EEA" w:rsidRPr="00694A2B" w:rsidRDefault="00473EEA" w:rsidP="00384BA8">
            <w:pPr>
              <w:pStyle w:val="TableBody"/>
              <w:rPr>
                <w:b/>
              </w:rPr>
            </w:pPr>
            <w:r w:rsidRPr="009F1733">
              <w:t>EUR</w:t>
            </w:r>
          </w:p>
        </w:tc>
        <w:tc>
          <w:tcPr>
            <w:tcW w:w="1710" w:type="dxa"/>
            <w:tcBorders>
              <w:top w:val="nil"/>
              <w:left w:val="nil"/>
              <w:bottom w:val="nil"/>
              <w:right w:val="nil"/>
            </w:tcBorders>
            <w:shd w:val="clear" w:color="auto" w:fill="auto"/>
            <w:noWrap/>
            <w:vAlign w:val="center"/>
            <w:hideMark/>
          </w:tcPr>
          <w:p w14:paraId="5B68E351" w14:textId="77777777" w:rsidR="00473EEA" w:rsidRDefault="00473EEA" w:rsidP="00384BA8">
            <w:pPr>
              <w:pStyle w:val="TableBody"/>
              <w:rPr>
                <w:sz w:val="24"/>
                <w:szCs w:val="24"/>
              </w:rPr>
            </w:pPr>
            <w:r>
              <w:t>Sierra Leone</w:t>
            </w:r>
          </w:p>
        </w:tc>
        <w:tc>
          <w:tcPr>
            <w:tcW w:w="1360" w:type="dxa"/>
            <w:tcBorders>
              <w:top w:val="nil"/>
              <w:left w:val="nil"/>
              <w:bottom w:val="nil"/>
              <w:right w:val="nil"/>
            </w:tcBorders>
            <w:shd w:val="clear" w:color="auto" w:fill="auto"/>
            <w:noWrap/>
            <w:vAlign w:val="center"/>
          </w:tcPr>
          <w:p w14:paraId="61E56F78" w14:textId="77777777" w:rsidR="00473EEA" w:rsidRPr="00700C8B" w:rsidRDefault="00473EEA" w:rsidP="00384BA8">
            <w:pPr>
              <w:pStyle w:val="TableBody"/>
              <w:jc w:val="center"/>
              <w:rPr>
                <w:color w:val="000000" w:themeColor="text1"/>
              </w:rPr>
            </w:pPr>
            <w:r w:rsidRPr="00700C8B">
              <w:rPr>
                <w:color w:val="000000" w:themeColor="text1"/>
              </w:rPr>
              <w:t>1998</w:t>
            </w:r>
          </w:p>
        </w:tc>
        <w:tc>
          <w:tcPr>
            <w:tcW w:w="1350" w:type="dxa"/>
            <w:tcBorders>
              <w:top w:val="nil"/>
              <w:left w:val="nil"/>
              <w:bottom w:val="nil"/>
              <w:right w:val="nil"/>
            </w:tcBorders>
            <w:vAlign w:val="center"/>
          </w:tcPr>
          <w:p w14:paraId="39F22EA7"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1AF49144" w14:textId="77777777" w:rsidR="00473EEA" w:rsidRPr="001A6581" w:rsidRDefault="00473EEA" w:rsidP="00384BA8">
            <w:pPr>
              <w:pStyle w:val="TableBody"/>
              <w:jc w:val="center"/>
              <w:rPr>
                <w:color w:val="000000" w:themeColor="text1"/>
              </w:rPr>
            </w:pPr>
            <w:r w:rsidRPr="001A6581">
              <w:rPr>
                <w:color w:val="000000" w:themeColor="text1"/>
              </w:rPr>
              <w:t>3</w:t>
            </w:r>
            <w:r>
              <w:rPr>
                <w:color w:val="000000" w:themeColor="text1"/>
              </w:rPr>
              <w:t>.0</w:t>
            </w:r>
          </w:p>
        </w:tc>
        <w:tc>
          <w:tcPr>
            <w:tcW w:w="1321" w:type="dxa"/>
            <w:tcBorders>
              <w:top w:val="nil"/>
              <w:left w:val="nil"/>
              <w:bottom w:val="nil"/>
              <w:right w:val="nil"/>
            </w:tcBorders>
            <w:vAlign w:val="center"/>
          </w:tcPr>
          <w:p w14:paraId="337593F4" w14:textId="77777777" w:rsidR="00473EEA" w:rsidRPr="006C0348" w:rsidRDefault="00473EEA" w:rsidP="00384BA8">
            <w:pPr>
              <w:pStyle w:val="TableBody"/>
              <w:jc w:val="center"/>
              <w:rPr>
                <w:color w:val="000000" w:themeColor="text1"/>
              </w:rPr>
            </w:pPr>
            <w:r>
              <w:rPr>
                <w:color w:val="000000" w:themeColor="text1"/>
              </w:rPr>
              <w:t>4.0</w:t>
            </w:r>
          </w:p>
        </w:tc>
        <w:tc>
          <w:tcPr>
            <w:tcW w:w="1321" w:type="dxa"/>
            <w:tcBorders>
              <w:top w:val="nil"/>
              <w:left w:val="nil"/>
              <w:bottom w:val="nil"/>
              <w:right w:val="nil"/>
            </w:tcBorders>
            <w:vAlign w:val="center"/>
          </w:tcPr>
          <w:p w14:paraId="40B9BE99" w14:textId="77777777" w:rsidR="00473EEA" w:rsidRPr="00C22A03" w:rsidRDefault="00473EEA" w:rsidP="00384BA8">
            <w:pPr>
              <w:pStyle w:val="TableBody"/>
              <w:jc w:val="center"/>
              <w:rPr>
                <w:color w:val="000000" w:themeColor="text1"/>
              </w:rPr>
            </w:pPr>
            <w:r>
              <w:rPr>
                <w:color w:val="000000" w:themeColor="text1"/>
              </w:rPr>
              <w:t>1.0</w:t>
            </w:r>
          </w:p>
        </w:tc>
      </w:tr>
      <w:tr w:rsidR="00473EEA" w14:paraId="5707354D"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7BD698FF" w14:textId="77777777" w:rsidR="00473EEA" w:rsidRPr="00694A2B" w:rsidRDefault="00473EEA" w:rsidP="00384BA8">
            <w:pPr>
              <w:pStyle w:val="TableBody"/>
              <w:rPr>
                <w:b/>
              </w:rPr>
            </w:pPr>
            <w:r w:rsidRPr="009F1733">
              <w:t>EUR</w:t>
            </w:r>
          </w:p>
        </w:tc>
        <w:tc>
          <w:tcPr>
            <w:tcW w:w="1710" w:type="dxa"/>
            <w:tcBorders>
              <w:top w:val="nil"/>
              <w:left w:val="nil"/>
              <w:bottom w:val="nil"/>
              <w:right w:val="nil"/>
            </w:tcBorders>
            <w:shd w:val="clear" w:color="auto" w:fill="auto"/>
            <w:noWrap/>
            <w:vAlign w:val="center"/>
            <w:hideMark/>
          </w:tcPr>
          <w:p w14:paraId="72B877E7" w14:textId="77777777" w:rsidR="00473EEA" w:rsidRDefault="00473EEA" w:rsidP="00384BA8">
            <w:pPr>
              <w:pStyle w:val="TableBody"/>
              <w:rPr>
                <w:sz w:val="24"/>
                <w:szCs w:val="24"/>
              </w:rPr>
            </w:pPr>
            <w:r>
              <w:t>Macedonia</w:t>
            </w:r>
          </w:p>
        </w:tc>
        <w:tc>
          <w:tcPr>
            <w:tcW w:w="1360" w:type="dxa"/>
            <w:tcBorders>
              <w:top w:val="nil"/>
              <w:left w:val="nil"/>
              <w:bottom w:val="nil"/>
              <w:right w:val="nil"/>
            </w:tcBorders>
            <w:shd w:val="clear" w:color="auto" w:fill="auto"/>
            <w:noWrap/>
            <w:vAlign w:val="center"/>
          </w:tcPr>
          <w:p w14:paraId="29DCD021" w14:textId="77777777" w:rsidR="00473EEA" w:rsidRPr="00700C8B" w:rsidRDefault="00473EEA" w:rsidP="00384BA8">
            <w:pPr>
              <w:pStyle w:val="TableBody"/>
              <w:jc w:val="center"/>
              <w:rPr>
                <w:color w:val="000000" w:themeColor="text1"/>
              </w:rPr>
            </w:pPr>
            <w:r w:rsidRPr="00700C8B">
              <w:rPr>
                <w:color w:val="000000" w:themeColor="text1"/>
              </w:rPr>
              <w:t>2001</w:t>
            </w:r>
          </w:p>
        </w:tc>
        <w:tc>
          <w:tcPr>
            <w:tcW w:w="1350" w:type="dxa"/>
            <w:tcBorders>
              <w:top w:val="nil"/>
              <w:left w:val="nil"/>
              <w:bottom w:val="nil"/>
              <w:right w:val="nil"/>
            </w:tcBorders>
            <w:vAlign w:val="center"/>
          </w:tcPr>
          <w:p w14:paraId="17295B88"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28A92635" w14:textId="77777777" w:rsidR="00473EEA" w:rsidRPr="001A6581" w:rsidRDefault="00473EEA" w:rsidP="00384BA8">
            <w:pPr>
              <w:pStyle w:val="TableBody"/>
              <w:jc w:val="center"/>
              <w:rPr>
                <w:color w:val="000000" w:themeColor="text1"/>
              </w:rPr>
            </w:pPr>
            <w:r w:rsidRPr="001A6581">
              <w:rPr>
                <w:color w:val="000000" w:themeColor="text1"/>
              </w:rPr>
              <w:t>3.5</w:t>
            </w:r>
          </w:p>
        </w:tc>
        <w:tc>
          <w:tcPr>
            <w:tcW w:w="1321" w:type="dxa"/>
            <w:tcBorders>
              <w:top w:val="nil"/>
              <w:left w:val="nil"/>
              <w:bottom w:val="nil"/>
              <w:right w:val="nil"/>
            </w:tcBorders>
            <w:vAlign w:val="center"/>
          </w:tcPr>
          <w:p w14:paraId="7C2B82C3" w14:textId="77777777" w:rsidR="00473EEA" w:rsidRPr="006C0348" w:rsidRDefault="00473EEA" w:rsidP="00384BA8">
            <w:pPr>
              <w:pStyle w:val="TableBody"/>
              <w:jc w:val="center"/>
              <w:rPr>
                <w:color w:val="000000" w:themeColor="text1"/>
              </w:rPr>
            </w:pPr>
            <w:r>
              <w:rPr>
                <w:color w:val="000000" w:themeColor="text1"/>
              </w:rPr>
              <w:t>3.5</w:t>
            </w:r>
          </w:p>
        </w:tc>
        <w:tc>
          <w:tcPr>
            <w:tcW w:w="1321" w:type="dxa"/>
            <w:tcBorders>
              <w:top w:val="nil"/>
              <w:left w:val="nil"/>
              <w:bottom w:val="nil"/>
              <w:right w:val="nil"/>
            </w:tcBorders>
            <w:vAlign w:val="center"/>
          </w:tcPr>
          <w:p w14:paraId="2C4465EE" w14:textId="77777777" w:rsidR="00473EEA" w:rsidRPr="00C22A03" w:rsidRDefault="00473EEA" w:rsidP="00384BA8">
            <w:pPr>
              <w:pStyle w:val="TableBody"/>
              <w:jc w:val="center"/>
              <w:rPr>
                <w:color w:val="000000" w:themeColor="text1"/>
              </w:rPr>
            </w:pPr>
            <w:r>
              <w:rPr>
                <w:color w:val="000000" w:themeColor="text1"/>
              </w:rPr>
              <w:t>0.0</w:t>
            </w:r>
          </w:p>
        </w:tc>
      </w:tr>
      <w:tr w:rsidR="00473EEA" w14:paraId="19514D5B"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4A949CA5" w14:textId="77777777" w:rsidR="00473EEA" w:rsidRPr="00694A2B" w:rsidRDefault="00473EEA" w:rsidP="00384BA8">
            <w:pPr>
              <w:pStyle w:val="TableBody"/>
              <w:rPr>
                <w:b/>
              </w:rPr>
            </w:pPr>
            <w:r w:rsidRPr="009F1733">
              <w:t>EUR</w:t>
            </w:r>
          </w:p>
        </w:tc>
        <w:tc>
          <w:tcPr>
            <w:tcW w:w="1710" w:type="dxa"/>
            <w:tcBorders>
              <w:top w:val="nil"/>
              <w:left w:val="nil"/>
              <w:bottom w:val="nil"/>
              <w:right w:val="nil"/>
            </w:tcBorders>
            <w:shd w:val="clear" w:color="auto" w:fill="auto"/>
            <w:noWrap/>
            <w:vAlign w:val="center"/>
            <w:hideMark/>
          </w:tcPr>
          <w:p w14:paraId="424A3F55" w14:textId="77777777" w:rsidR="00473EEA" w:rsidRDefault="00473EEA" w:rsidP="00384BA8">
            <w:pPr>
              <w:pStyle w:val="TableBody"/>
              <w:rPr>
                <w:sz w:val="24"/>
                <w:szCs w:val="24"/>
              </w:rPr>
            </w:pPr>
            <w:r>
              <w:t>Cote d'Ivoire</w:t>
            </w:r>
          </w:p>
        </w:tc>
        <w:tc>
          <w:tcPr>
            <w:tcW w:w="1360" w:type="dxa"/>
            <w:tcBorders>
              <w:top w:val="nil"/>
              <w:left w:val="nil"/>
              <w:bottom w:val="nil"/>
              <w:right w:val="nil"/>
            </w:tcBorders>
            <w:shd w:val="clear" w:color="auto" w:fill="auto"/>
            <w:noWrap/>
            <w:vAlign w:val="center"/>
          </w:tcPr>
          <w:p w14:paraId="356C6E1B" w14:textId="77777777" w:rsidR="00473EEA" w:rsidRPr="00700C8B" w:rsidRDefault="00473EEA" w:rsidP="00384BA8">
            <w:pPr>
              <w:pStyle w:val="TableBody"/>
              <w:jc w:val="center"/>
              <w:rPr>
                <w:color w:val="000000" w:themeColor="text1"/>
              </w:rPr>
            </w:pPr>
            <w:r w:rsidRPr="00700C8B">
              <w:rPr>
                <w:color w:val="000000" w:themeColor="text1"/>
              </w:rPr>
              <w:t>2002</w:t>
            </w:r>
          </w:p>
        </w:tc>
        <w:tc>
          <w:tcPr>
            <w:tcW w:w="1350" w:type="dxa"/>
            <w:tcBorders>
              <w:top w:val="nil"/>
              <w:left w:val="nil"/>
              <w:bottom w:val="nil"/>
              <w:right w:val="nil"/>
            </w:tcBorders>
            <w:vAlign w:val="center"/>
          </w:tcPr>
          <w:p w14:paraId="1BC8CD90" w14:textId="77777777" w:rsidR="00473EEA" w:rsidRPr="004F6665" w:rsidRDefault="00473EEA" w:rsidP="00384BA8">
            <w:pPr>
              <w:pStyle w:val="TableBody"/>
              <w:jc w:val="center"/>
              <w:rPr>
                <w:color w:val="000000" w:themeColor="text1"/>
              </w:rPr>
            </w:pPr>
            <w:r>
              <w:t>Partly free</w:t>
            </w:r>
          </w:p>
        </w:tc>
        <w:tc>
          <w:tcPr>
            <w:tcW w:w="1279" w:type="dxa"/>
            <w:tcBorders>
              <w:top w:val="nil"/>
              <w:left w:val="nil"/>
              <w:bottom w:val="nil"/>
              <w:right w:val="nil"/>
            </w:tcBorders>
            <w:vAlign w:val="center"/>
          </w:tcPr>
          <w:p w14:paraId="0182D94B" w14:textId="77777777" w:rsidR="00473EEA" w:rsidRPr="001A6581" w:rsidRDefault="00473EEA" w:rsidP="00384BA8">
            <w:pPr>
              <w:pStyle w:val="TableBody"/>
              <w:jc w:val="center"/>
              <w:rPr>
                <w:color w:val="000000" w:themeColor="text1"/>
              </w:rPr>
            </w:pPr>
            <w:r w:rsidRPr="001A6581">
              <w:rPr>
                <w:color w:val="000000" w:themeColor="text1"/>
              </w:rPr>
              <w:t>4</w:t>
            </w:r>
            <w:r>
              <w:rPr>
                <w:color w:val="000000" w:themeColor="text1"/>
              </w:rPr>
              <w:t>.0</w:t>
            </w:r>
          </w:p>
        </w:tc>
        <w:tc>
          <w:tcPr>
            <w:tcW w:w="1321" w:type="dxa"/>
            <w:tcBorders>
              <w:top w:val="nil"/>
              <w:left w:val="nil"/>
              <w:bottom w:val="nil"/>
              <w:right w:val="nil"/>
            </w:tcBorders>
            <w:vAlign w:val="center"/>
          </w:tcPr>
          <w:p w14:paraId="13D6CCC5" w14:textId="77777777" w:rsidR="00473EEA" w:rsidRPr="006C0348" w:rsidRDefault="00473EEA" w:rsidP="00384BA8">
            <w:pPr>
              <w:pStyle w:val="TableBody"/>
              <w:jc w:val="center"/>
              <w:rPr>
                <w:color w:val="000000" w:themeColor="text1"/>
              </w:rPr>
            </w:pPr>
            <w:r>
              <w:rPr>
                <w:color w:val="000000" w:themeColor="text1"/>
              </w:rPr>
              <w:t>4.5</w:t>
            </w:r>
          </w:p>
        </w:tc>
        <w:tc>
          <w:tcPr>
            <w:tcW w:w="1321" w:type="dxa"/>
            <w:tcBorders>
              <w:top w:val="nil"/>
              <w:left w:val="nil"/>
              <w:bottom w:val="nil"/>
              <w:right w:val="nil"/>
            </w:tcBorders>
            <w:vAlign w:val="center"/>
          </w:tcPr>
          <w:p w14:paraId="327A4FB9" w14:textId="77777777" w:rsidR="00473EEA" w:rsidRPr="00C22A03" w:rsidRDefault="00473EEA" w:rsidP="00384BA8">
            <w:pPr>
              <w:pStyle w:val="TableBody"/>
              <w:jc w:val="center"/>
              <w:rPr>
                <w:color w:val="000000" w:themeColor="text1"/>
              </w:rPr>
            </w:pPr>
            <w:r>
              <w:rPr>
                <w:color w:val="000000" w:themeColor="text1"/>
              </w:rPr>
              <w:t>0.5</w:t>
            </w:r>
          </w:p>
        </w:tc>
      </w:tr>
      <w:tr w:rsidR="00473EEA" w14:paraId="03924C5E"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5F114F6C" w14:textId="77777777" w:rsidR="00473EEA" w:rsidRPr="00694A2B" w:rsidRDefault="00473EEA" w:rsidP="00384BA8">
            <w:pPr>
              <w:pStyle w:val="TableBody"/>
              <w:rPr>
                <w:b/>
                <w:color w:val="FF0000"/>
              </w:rPr>
            </w:pPr>
            <w:r w:rsidRPr="009F1733">
              <w:t>EUR</w:t>
            </w:r>
          </w:p>
        </w:tc>
        <w:tc>
          <w:tcPr>
            <w:tcW w:w="1710" w:type="dxa"/>
            <w:tcBorders>
              <w:top w:val="nil"/>
              <w:left w:val="nil"/>
              <w:bottom w:val="nil"/>
              <w:right w:val="nil"/>
            </w:tcBorders>
            <w:shd w:val="clear" w:color="auto" w:fill="auto"/>
            <w:noWrap/>
            <w:vAlign w:val="center"/>
            <w:hideMark/>
          </w:tcPr>
          <w:p w14:paraId="3620BCA3" w14:textId="77777777" w:rsidR="00473EEA" w:rsidRDefault="00473EEA" w:rsidP="00384BA8">
            <w:pPr>
              <w:pStyle w:val="TableBody"/>
              <w:rPr>
                <w:sz w:val="24"/>
                <w:szCs w:val="24"/>
              </w:rPr>
            </w:pPr>
            <w:r>
              <w:t>DR Congo</w:t>
            </w:r>
          </w:p>
        </w:tc>
        <w:tc>
          <w:tcPr>
            <w:tcW w:w="1360" w:type="dxa"/>
            <w:tcBorders>
              <w:top w:val="nil"/>
              <w:left w:val="nil"/>
              <w:bottom w:val="nil"/>
              <w:right w:val="nil"/>
            </w:tcBorders>
            <w:shd w:val="clear" w:color="auto" w:fill="auto"/>
            <w:noWrap/>
            <w:vAlign w:val="center"/>
          </w:tcPr>
          <w:p w14:paraId="20F185A5" w14:textId="77777777" w:rsidR="00473EEA" w:rsidRPr="00700C8B" w:rsidRDefault="00473EEA" w:rsidP="00384BA8">
            <w:pPr>
              <w:pStyle w:val="TableBody"/>
              <w:jc w:val="center"/>
              <w:rPr>
                <w:color w:val="000000" w:themeColor="text1"/>
              </w:rPr>
            </w:pPr>
            <w:r w:rsidRPr="00700C8B">
              <w:rPr>
                <w:color w:val="000000" w:themeColor="text1"/>
              </w:rPr>
              <w:t>1999</w:t>
            </w:r>
          </w:p>
        </w:tc>
        <w:tc>
          <w:tcPr>
            <w:tcW w:w="1350" w:type="dxa"/>
            <w:tcBorders>
              <w:top w:val="nil"/>
              <w:left w:val="nil"/>
              <w:bottom w:val="nil"/>
              <w:right w:val="nil"/>
            </w:tcBorders>
            <w:vAlign w:val="center"/>
          </w:tcPr>
          <w:p w14:paraId="6CA0C8E8" w14:textId="77777777" w:rsidR="00473EEA" w:rsidRDefault="00473EEA" w:rsidP="00384BA8">
            <w:pPr>
              <w:pStyle w:val="TableBody"/>
              <w:jc w:val="center"/>
              <w:rPr>
                <w:color w:val="FF0000"/>
              </w:rPr>
            </w:pPr>
            <w:r>
              <w:t>Not free</w:t>
            </w:r>
          </w:p>
        </w:tc>
        <w:tc>
          <w:tcPr>
            <w:tcW w:w="1279" w:type="dxa"/>
            <w:tcBorders>
              <w:top w:val="nil"/>
              <w:left w:val="nil"/>
              <w:bottom w:val="nil"/>
              <w:right w:val="nil"/>
            </w:tcBorders>
            <w:vAlign w:val="center"/>
          </w:tcPr>
          <w:p w14:paraId="6F484E6F" w14:textId="77777777" w:rsidR="00473EEA" w:rsidRPr="001A6581" w:rsidRDefault="00473EEA" w:rsidP="00384BA8">
            <w:pPr>
              <w:pStyle w:val="TableBody"/>
              <w:jc w:val="center"/>
              <w:rPr>
                <w:color w:val="000000" w:themeColor="text1"/>
              </w:rPr>
            </w:pPr>
            <w:r w:rsidRPr="001A6581">
              <w:rPr>
                <w:color w:val="000000" w:themeColor="text1"/>
              </w:rPr>
              <w:t>6.5</w:t>
            </w:r>
          </w:p>
        </w:tc>
        <w:tc>
          <w:tcPr>
            <w:tcW w:w="1321" w:type="dxa"/>
            <w:tcBorders>
              <w:top w:val="nil"/>
              <w:left w:val="nil"/>
              <w:bottom w:val="nil"/>
              <w:right w:val="nil"/>
            </w:tcBorders>
            <w:vAlign w:val="center"/>
          </w:tcPr>
          <w:p w14:paraId="43F5F6BA" w14:textId="77777777" w:rsidR="00473EEA" w:rsidRPr="006C0348" w:rsidRDefault="00473EEA" w:rsidP="00384BA8">
            <w:pPr>
              <w:pStyle w:val="TableBody"/>
              <w:jc w:val="center"/>
              <w:rPr>
                <w:color w:val="000000" w:themeColor="text1"/>
              </w:rPr>
            </w:pPr>
            <w:r>
              <w:rPr>
                <w:color w:val="000000" w:themeColor="text1"/>
              </w:rPr>
              <w:t>6.5</w:t>
            </w:r>
          </w:p>
        </w:tc>
        <w:tc>
          <w:tcPr>
            <w:tcW w:w="1321" w:type="dxa"/>
            <w:tcBorders>
              <w:top w:val="nil"/>
              <w:left w:val="nil"/>
              <w:bottom w:val="nil"/>
              <w:right w:val="nil"/>
            </w:tcBorders>
            <w:vAlign w:val="center"/>
          </w:tcPr>
          <w:p w14:paraId="4E0727E5" w14:textId="77777777" w:rsidR="00473EEA" w:rsidRPr="00C22A03" w:rsidRDefault="00473EEA" w:rsidP="00384BA8">
            <w:pPr>
              <w:pStyle w:val="TableBody"/>
              <w:jc w:val="center"/>
              <w:rPr>
                <w:color w:val="000000" w:themeColor="text1"/>
              </w:rPr>
            </w:pPr>
            <w:r>
              <w:rPr>
                <w:color w:val="000000" w:themeColor="text1"/>
              </w:rPr>
              <w:t>0.0</w:t>
            </w:r>
          </w:p>
        </w:tc>
      </w:tr>
      <w:tr w:rsidR="00473EEA" w14:paraId="4642AAE8"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1E887343" w14:textId="77777777" w:rsidR="00473EEA" w:rsidRPr="00694A2B" w:rsidRDefault="00473EEA" w:rsidP="00384BA8">
            <w:pPr>
              <w:pStyle w:val="TableBody"/>
              <w:rPr>
                <w:b/>
                <w:color w:val="FF0000"/>
              </w:rPr>
            </w:pPr>
            <w:r w:rsidRPr="009F1733">
              <w:t>EUR</w:t>
            </w:r>
          </w:p>
        </w:tc>
        <w:tc>
          <w:tcPr>
            <w:tcW w:w="1710" w:type="dxa"/>
            <w:tcBorders>
              <w:top w:val="nil"/>
              <w:left w:val="nil"/>
              <w:bottom w:val="nil"/>
              <w:right w:val="nil"/>
            </w:tcBorders>
            <w:shd w:val="clear" w:color="auto" w:fill="auto"/>
            <w:noWrap/>
            <w:vAlign w:val="center"/>
            <w:hideMark/>
          </w:tcPr>
          <w:p w14:paraId="73BAA542" w14:textId="77777777" w:rsidR="00473EEA" w:rsidRDefault="00473EEA" w:rsidP="00384BA8">
            <w:pPr>
              <w:pStyle w:val="TableBody"/>
              <w:rPr>
                <w:sz w:val="24"/>
                <w:szCs w:val="24"/>
              </w:rPr>
            </w:pPr>
            <w:r>
              <w:t>Bosnia (II)</w:t>
            </w:r>
          </w:p>
        </w:tc>
        <w:tc>
          <w:tcPr>
            <w:tcW w:w="1360" w:type="dxa"/>
            <w:tcBorders>
              <w:top w:val="nil"/>
              <w:left w:val="nil"/>
              <w:bottom w:val="nil"/>
              <w:right w:val="nil"/>
            </w:tcBorders>
            <w:shd w:val="clear" w:color="auto" w:fill="auto"/>
            <w:noWrap/>
            <w:vAlign w:val="center"/>
          </w:tcPr>
          <w:p w14:paraId="5A62BF99" w14:textId="77777777" w:rsidR="00473EEA" w:rsidRPr="00700C8B" w:rsidRDefault="00473EEA" w:rsidP="00384BA8">
            <w:pPr>
              <w:pStyle w:val="TableBody"/>
              <w:jc w:val="center"/>
              <w:rPr>
                <w:color w:val="000000" w:themeColor="text1"/>
              </w:rPr>
            </w:pPr>
            <w:r w:rsidRPr="00700C8B">
              <w:rPr>
                <w:color w:val="000000" w:themeColor="text1"/>
              </w:rPr>
              <w:t>2004</w:t>
            </w:r>
          </w:p>
        </w:tc>
        <w:tc>
          <w:tcPr>
            <w:tcW w:w="1350" w:type="dxa"/>
            <w:tcBorders>
              <w:top w:val="nil"/>
              <w:left w:val="nil"/>
              <w:bottom w:val="nil"/>
              <w:right w:val="nil"/>
            </w:tcBorders>
            <w:vAlign w:val="center"/>
          </w:tcPr>
          <w:p w14:paraId="195D3CB5"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28EEA35A" w14:textId="77777777" w:rsidR="00473EEA" w:rsidRPr="001A6581" w:rsidRDefault="00473EEA" w:rsidP="00384BA8">
            <w:pPr>
              <w:pStyle w:val="TableBody"/>
              <w:jc w:val="center"/>
              <w:rPr>
                <w:color w:val="000000" w:themeColor="text1"/>
              </w:rPr>
            </w:pPr>
            <w:r w:rsidRPr="001A6581">
              <w:rPr>
                <w:color w:val="000000" w:themeColor="text1"/>
              </w:rPr>
              <w:t>4</w:t>
            </w:r>
            <w:r>
              <w:rPr>
                <w:color w:val="000000" w:themeColor="text1"/>
              </w:rPr>
              <w:t>.0</w:t>
            </w:r>
          </w:p>
        </w:tc>
        <w:tc>
          <w:tcPr>
            <w:tcW w:w="1321" w:type="dxa"/>
            <w:tcBorders>
              <w:top w:val="nil"/>
              <w:left w:val="nil"/>
              <w:bottom w:val="nil"/>
              <w:right w:val="nil"/>
            </w:tcBorders>
            <w:vAlign w:val="center"/>
          </w:tcPr>
          <w:p w14:paraId="65FD84FE" w14:textId="77777777" w:rsidR="00473EEA" w:rsidRPr="006C0348" w:rsidRDefault="00473EEA" w:rsidP="00384BA8">
            <w:pPr>
              <w:pStyle w:val="TableBody"/>
              <w:jc w:val="center"/>
              <w:rPr>
                <w:color w:val="000000" w:themeColor="text1"/>
              </w:rPr>
            </w:pPr>
            <w:r>
              <w:rPr>
                <w:color w:val="000000" w:themeColor="text1"/>
              </w:rPr>
              <w:t>4.0</w:t>
            </w:r>
          </w:p>
        </w:tc>
        <w:tc>
          <w:tcPr>
            <w:tcW w:w="1321" w:type="dxa"/>
            <w:tcBorders>
              <w:top w:val="nil"/>
              <w:left w:val="nil"/>
              <w:bottom w:val="nil"/>
              <w:right w:val="nil"/>
            </w:tcBorders>
            <w:vAlign w:val="center"/>
          </w:tcPr>
          <w:p w14:paraId="49E3E12F" w14:textId="77777777" w:rsidR="00473EEA" w:rsidRPr="00C22A03" w:rsidRDefault="00473EEA" w:rsidP="00384BA8">
            <w:pPr>
              <w:pStyle w:val="TableBody"/>
              <w:jc w:val="center"/>
              <w:rPr>
                <w:color w:val="000000" w:themeColor="text1"/>
              </w:rPr>
            </w:pPr>
            <w:r>
              <w:rPr>
                <w:color w:val="000000" w:themeColor="text1"/>
              </w:rPr>
              <w:t>0.0</w:t>
            </w:r>
          </w:p>
        </w:tc>
      </w:tr>
      <w:tr w:rsidR="00473EEA" w14:paraId="6275C053"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06A3502A" w14:textId="77777777" w:rsidR="00473EEA" w:rsidRPr="006A1061" w:rsidRDefault="00473EEA" w:rsidP="00384BA8">
            <w:pPr>
              <w:pStyle w:val="TableBody"/>
            </w:pPr>
            <w:r w:rsidRPr="006A1061">
              <w:t>AFR</w:t>
            </w:r>
          </w:p>
        </w:tc>
        <w:tc>
          <w:tcPr>
            <w:tcW w:w="1710" w:type="dxa"/>
            <w:tcBorders>
              <w:top w:val="nil"/>
              <w:left w:val="nil"/>
              <w:bottom w:val="nil"/>
              <w:right w:val="nil"/>
            </w:tcBorders>
            <w:shd w:val="clear" w:color="auto" w:fill="auto"/>
            <w:noWrap/>
            <w:vAlign w:val="center"/>
            <w:hideMark/>
          </w:tcPr>
          <w:p w14:paraId="4247127B" w14:textId="77777777" w:rsidR="00473EEA" w:rsidRDefault="00473EEA" w:rsidP="00384BA8">
            <w:pPr>
              <w:pStyle w:val="TableBody"/>
            </w:pPr>
            <w:r>
              <w:t>Burundi</w:t>
            </w:r>
          </w:p>
        </w:tc>
        <w:tc>
          <w:tcPr>
            <w:tcW w:w="1360" w:type="dxa"/>
            <w:tcBorders>
              <w:top w:val="nil"/>
              <w:left w:val="nil"/>
              <w:bottom w:val="nil"/>
              <w:right w:val="nil"/>
            </w:tcBorders>
            <w:shd w:val="clear" w:color="auto" w:fill="auto"/>
            <w:noWrap/>
            <w:vAlign w:val="center"/>
          </w:tcPr>
          <w:p w14:paraId="3B9CCD81" w14:textId="77777777" w:rsidR="00473EEA" w:rsidRPr="00700C8B" w:rsidRDefault="00473EEA" w:rsidP="00384BA8">
            <w:pPr>
              <w:pStyle w:val="TableBody"/>
              <w:jc w:val="center"/>
              <w:rPr>
                <w:color w:val="000000" w:themeColor="text1"/>
              </w:rPr>
            </w:pPr>
            <w:r w:rsidRPr="00700C8B">
              <w:rPr>
                <w:color w:val="000000" w:themeColor="text1"/>
              </w:rPr>
              <w:t>2001</w:t>
            </w:r>
          </w:p>
        </w:tc>
        <w:tc>
          <w:tcPr>
            <w:tcW w:w="1350" w:type="dxa"/>
            <w:tcBorders>
              <w:top w:val="nil"/>
              <w:left w:val="nil"/>
              <w:bottom w:val="nil"/>
              <w:right w:val="nil"/>
            </w:tcBorders>
            <w:vAlign w:val="center"/>
          </w:tcPr>
          <w:p w14:paraId="09849905" w14:textId="77777777" w:rsidR="00473EEA" w:rsidRDefault="00473EEA" w:rsidP="00384BA8">
            <w:pPr>
              <w:pStyle w:val="TableBody"/>
              <w:jc w:val="center"/>
              <w:rPr>
                <w:color w:val="FF0000"/>
              </w:rPr>
            </w:pPr>
            <w:r>
              <w:t>Not free</w:t>
            </w:r>
          </w:p>
        </w:tc>
        <w:tc>
          <w:tcPr>
            <w:tcW w:w="1279" w:type="dxa"/>
            <w:tcBorders>
              <w:top w:val="nil"/>
              <w:left w:val="nil"/>
              <w:bottom w:val="nil"/>
              <w:right w:val="nil"/>
            </w:tcBorders>
            <w:vAlign w:val="center"/>
          </w:tcPr>
          <w:p w14:paraId="3EEF0F69" w14:textId="77777777" w:rsidR="00473EEA" w:rsidRPr="001A6581" w:rsidRDefault="00473EEA" w:rsidP="00384BA8">
            <w:pPr>
              <w:pStyle w:val="TableBody"/>
              <w:jc w:val="center"/>
              <w:rPr>
                <w:color w:val="000000" w:themeColor="text1"/>
              </w:rPr>
            </w:pPr>
            <w:r w:rsidRPr="001A6581">
              <w:rPr>
                <w:color w:val="000000" w:themeColor="text1"/>
              </w:rPr>
              <w:t>6.5</w:t>
            </w:r>
          </w:p>
        </w:tc>
        <w:tc>
          <w:tcPr>
            <w:tcW w:w="1321" w:type="dxa"/>
            <w:tcBorders>
              <w:top w:val="nil"/>
              <w:left w:val="nil"/>
              <w:bottom w:val="nil"/>
              <w:right w:val="nil"/>
            </w:tcBorders>
            <w:vAlign w:val="center"/>
          </w:tcPr>
          <w:p w14:paraId="742F0AA1" w14:textId="77777777" w:rsidR="00473EEA" w:rsidRPr="006C0348" w:rsidRDefault="00473EEA" w:rsidP="00384BA8">
            <w:pPr>
              <w:pStyle w:val="TableBody"/>
              <w:jc w:val="center"/>
              <w:rPr>
                <w:color w:val="000000" w:themeColor="text1"/>
              </w:rPr>
            </w:pPr>
            <w:r>
              <w:rPr>
                <w:color w:val="000000" w:themeColor="text1"/>
              </w:rPr>
              <w:t>6.0</w:t>
            </w:r>
          </w:p>
        </w:tc>
        <w:tc>
          <w:tcPr>
            <w:tcW w:w="1321" w:type="dxa"/>
            <w:tcBorders>
              <w:top w:val="nil"/>
              <w:left w:val="nil"/>
              <w:bottom w:val="nil"/>
              <w:right w:val="nil"/>
            </w:tcBorders>
            <w:vAlign w:val="center"/>
          </w:tcPr>
          <w:p w14:paraId="4BB7BA60" w14:textId="77777777" w:rsidR="00473EEA" w:rsidRPr="00C22A03" w:rsidRDefault="00473EEA" w:rsidP="00384BA8">
            <w:pPr>
              <w:pStyle w:val="TableBody"/>
              <w:jc w:val="center"/>
              <w:rPr>
                <w:color w:val="000000" w:themeColor="text1"/>
              </w:rPr>
            </w:pPr>
            <w:r>
              <w:rPr>
                <w:color w:val="000000" w:themeColor="text1"/>
              </w:rPr>
              <w:t>–0.5</w:t>
            </w:r>
          </w:p>
        </w:tc>
      </w:tr>
      <w:tr w:rsidR="00473EEA" w14:paraId="017ED456"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5A602CFB" w14:textId="77777777" w:rsidR="00473EEA" w:rsidRDefault="00473EEA" w:rsidP="00384BA8">
            <w:pPr>
              <w:pStyle w:val="TableBody"/>
              <w:rPr>
                <w:color w:val="FF0000"/>
              </w:rPr>
            </w:pPr>
            <w:r w:rsidRPr="00082BA5">
              <w:t>AFR</w:t>
            </w:r>
          </w:p>
        </w:tc>
        <w:tc>
          <w:tcPr>
            <w:tcW w:w="1710" w:type="dxa"/>
            <w:tcBorders>
              <w:top w:val="nil"/>
              <w:left w:val="nil"/>
              <w:bottom w:val="nil"/>
              <w:right w:val="nil"/>
            </w:tcBorders>
            <w:shd w:val="clear" w:color="auto" w:fill="auto"/>
            <w:noWrap/>
            <w:vAlign w:val="center"/>
            <w:hideMark/>
          </w:tcPr>
          <w:p w14:paraId="36AA8A8D" w14:textId="77777777" w:rsidR="00473EEA" w:rsidRDefault="00473EEA" w:rsidP="00384BA8">
            <w:pPr>
              <w:pStyle w:val="TableBody"/>
              <w:rPr>
                <w:sz w:val="24"/>
                <w:szCs w:val="24"/>
              </w:rPr>
            </w:pPr>
            <w:r>
              <w:t>CAR</w:t>
            </w:r>
          </w:p>
        </w:tc>
        <w:tc>
          <w:tcPr>
            <w:tcW w:w="1360" w:type="dxa"/>
            <w:tcBorders>
              <w:top w:val="nil"/>
              <w:left w:val="nil"/>
              <w:bottom w:val="nil"/>
              <w:right w:val="nil"/>
            </w:tcBorders>
            <w:shd w:val="clear" w:color="auto" w:fill="auto"/>
            <w:noWrap/>
            <w:vAlign w:val="center"/>
          </w:tcPr>
          <w:p w14:paraId="4792163E" w14:textId="77777777" w:rsidR="00473EEA" w:rsidRPr="00700C8B" w:rsidRDefault="00473EEA" w:rsidP="00384BA8">
            <w:pPr>
              <w:pStyle w:val="TableBody"/>
              <w:jc w:val="center"/>
              <w:rPr>
                <w:color w:val="000000" w:themeColor="text1"/>
              </w:rPr>
            </w:pPr>
            <w:r w:rsidRPr="00700C8B">
              <w:rPr>
                <w:color w:val="000000" w:themeColor="text1"/>
              </w:rPr>
              <w:t>2002</w:t>
            </w:r>
          </w:p>
        </w:tc>
        <w:tc>
          <w:tcPr>
            <w:tcW w:w="1350" w:type="dxa"/>
            <w:tcBorders>
              <w:top w:val="nil"/>
              <w:left w:val="nil"/>
              <w:bottom w:val="nil"/>
              <w:right w:val="nil"/>
            </w:tcBorders>
            <w:vAlign w:val="center"/>
          </w:tcPr>
          <w:p w14:paraId="4A6C2C41" w14:textId="77777777" w:rsidR="00473EEA" w:rsidRDefault="00473EEA" w:rsidP="00384BA8">
            <w:pPr>
              <w:pStyle w:val="TableBody"/>
              <w:jc w:val="center"/>
              <w:rPr>
                <w:color w:val="FF0000"/>
              </w:rPr>
            </w:pPr>
            <w:r>
              <w:t>Not free</w:t>
            </w:r>
          </w:p>
        </w:tc>
        <w:tc>
          <w:tcPr>
            <w:tcW w:w="1279" w:type="dxa"/>
            <w:tcBorders>
              <w:top w:val="nil"/>
              <w:left w:val="nil"/>
              <w:bottom w:val="nil"/>
              <w:right w:val="nil"/>
            </w:tcBorders>
            <w:vAlign w:val="center"/>
          </w:tcPr>
          <w:p w14:paraId="32EA8A63" w14:textId="77777777" w:rsidR="00473EEA" w:rsidRPr="001A6581" w:rsidRDefault="00473EEA" w:rsidP="00384BA8">
            <w:pPr>
              <w:pStyle w:val="TableBody"/>
              <w:jc w:val="center"/>
              <w:rPr>
                <w:color w:val="000000" w:themeColor="text1"/>
              </w:rPr>
            </w:pPr>
            <w:r w:rsidRPr="001A6581">
              <w:rPr>
                <w:color w:val="000000" w:themeColor="text1"/>
              </w:rPr>
              <w:t>7</w:t>
            </w:r>
            <w:r>
              <w:rPr>
                <w:color w:val="000000" w:themeColor="text1"/>
              </w:rPr>
              <w:t>.0</w:t>
            </w:r>
          </w:p>
        </w:tc>
        <w:tc>
          <w:tcPr>
            <w:tcW w:w="1321" w:type="dxa"/>
            <w:tcBorders>
              <w:top w:val="nil"/>
              <w:left w:val="nil"/>
              <w:bottom w:val="nil"/>
              <w:right w:val="nil"/>
            </w:tcBorders>
            <w:vAlign w:val="center"/>
          </w:tcPr>
          <w:p w14:paraId="6ACBCA75" w14:textId="77777777" w:rsidR="00473EEA" w:rsidRPr="006C0348" w:rsidRDefault="00473EEA" w:rsidP="00384BA8">
            <w:pPr>
              <w:pStyle w:val="TableBody"/>
              <w:jc w:val="center"/>
              <w:rPr>
                <w:color w:val="000000" w:themeColor="text1"/>
              </w:rPr>
            </w:pPr>
            <w:r>
              <w:rPr>
                <w:color w:val="000000" w:themeColor="text1"/>
              </w:rPr>
              <w:t>5.0</w:t>
            </w:r>
          </w:p>
        </w:tc>
        <w:tc>
          <w:tcPr>
            <w:tcW w:w="1321" w:type="dxa"/>
            <w:tcBorders>
              <w:top w:val="nil"/>
              <w:left w:val="nil"/>
              <w:bottom w:val="nil"/>
              <w:right w:val="nil"/>
            </w:tcBorders>
            <w:vAlign w:val="center"/>
          </w:tcPr>
          <w:p w14:paraId="2722EA2F" w14:textId="77777777" w:rsidR="00473EEA" w:rsidRPr="00C22A03" w:rsidRDefault="00473EEA" w:rsidP="00384BA8">
            <w:pPr>
              <w:pStyle w:val="TableBody"/>
              <w:jc w:val="center"/>
              <w:rPr>
                <w:color w:val="000000" w:themeColor="text1"/>
              </w:rPr>
            </w:pPr>
            <w:r>
              <w:rPr>
                <w:color w:val="000000" w:themeColor="text1"/>
              </w:rPr>
              <w:t>–2.0</w:t>
            </w:r>
          </w:p>
        </w:tc>
      </w:tr>
      <w:tr w:rsidR="00473EEA" w14:paraId="4AF5523A"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79A490C0" w14:textId="77777777" w:rsidR="00473EEA" w:rsidRDefault="00473EEA" w:rsidP="00384BA8">
            <w:pPr>
              <w:pStyle w:val="TableBody"/>
              <w:rPr>
                <w:color w:val="FF0000"/>
              </w:rPr>
            </w:pPr>
            <w:r w:rsidRPr="00082BA5">
              <w:t>AFR</w:t>
            </w:r>
          </w:p>
        </w:tc>
        <w:tc>
          <w:tcPr>
            <w:tcW w:w="1710" w:type="dxa"/>
            <w:tcBorders>
              <w:top w:val="nil"/>
              <w:left w:val="nil"/>
              <w:bottom w:val="nil"/>
              <w:right w:val="nil"/>
            </w:tcBorders>
            <w:shd w:val="clear" w:color="auto" w:fill="auto"/>
            <w:noWrap/>
            <w:vAlign w:val="center"/>
            <w:hideMark/>
          </w:tcPr>
          <w:p w14:paraId="395207B8" w14:textId="77777777" w:rsidR="00473EEA" w:rsidRDefault="00473EEA" w:rsidP="00384BA8">
            <w:pPr>
              <w:pStyle w:val="TableBody"/>
              <w:rPr>
                <w:sz w:val="24"/>
                <w:szCs w:val="24"/>
              </w:rPr>
            </w:pPr>
            <w:r>
              <w:t>Sudan/Darfur</w:t>
            </w:r>
          </w:p>
        </w:tc>
        <w:tc>
          <w:tcPr>
            <w:tcW w:w="1360" w:type="dxa"/>
            <w:tcBorders>
              <w:top w:val="nil"/>
              <w:left w:val="nil"/>
              <w:bottom w:val="nil"/>
              <w:right w:val="nil"/>
            </w:tcBorders>
            <w:shd w:val="clear" w:color="auto" w:fill="auto"/>
            <w:noWrap/>
            <w:vAlign w:val="center"/>
          </w:tcPr>
          <w:p w14:paraId="1AFEE780" w14:textId="77777777" w:rsidR="00473EEA" w:rsidRPr="00700C8B" w:rsidRDefault="00473EEA" w:rsidP="00384BA8">
            <w:pPr>
              <w:pStyle w:val="TableBody"/>
              <w:jc w:val="center"/>
              <w:rPr>
                <w:color w:val="000000" w:themeColor="text1"/>
              </w:rPr>
            </w:pPr>
            <w:r w:rsidRPr="00700C8B">
              <w:rPr>
                <w:color w:val="000000" w:themeColor="text1"/>
              </w:rPr>
              <w:t>2004</w:t>
            </w:r>
          </w:p>
        </w:tc>
        <w:tc>
          <w:tcPr>
            <w:tcW w:w="1350" w:type="dxa"/>
            <w:tcBorders>
              <w:top w:val="nil"/>
              <w:left w:val="nil"/>
              <w:bottom w:val="nil"/>
              <w:right w:val="nil"/>
            </w:tcBorders>
            <w:vAlign w:val="center"/>
          </w:tcPr>
          <w:p w14:paraId="4003E22E" w14:textId="77777777" w:rsidR="00473EEA" w:rsidRDefault="00473EEA" w:rsidP="00384BA8">
            <w:pPr>
              <w:pStyle w:val="TableBody"/>
              <w:jc w:val="center"/>
            </w:pPr>
            <w:r>
              <w:t>Not free</w:t>
            </w:r>
          </w:p>
        </w:tc>
        <w:tc>
          <w:tcPr>
            <w:tcW w:w="1279" w:type="dxa"/>
            <w:tcBorders>
              <w:top w:val="nil"/>
              <w:left w:val="nil"/>
              <w:bottom w:val="nil"/>
              <w:right w:val="nil"/>
            </w:tcBorders>
            <w:vAlign w:val="center"/>
          </w:tcPr>
          <w:p w14:paraId="7008DFE4" w14:textId="77777777" w:rsidR="00473EEA" w:rsidRPr="001A6581" w:rsidRDefault="00473EEA" w:rsidP="00384BA8">
            <w:pPr>
              <w:pStyle w:val="TableBody"/>
              <w:jc w:val="center"/>
              <w:rPr>
                <w:color w:val="000000" w:themeColor="text1"/>
              </w:rPr>
            </w:pPr>
            <w:r w:rsidRPr="001A6581">
              <w:rPr>
                <w:color w:val="000000" w:themeColor="text1"/>
              </w:rPr>
              <w:t>7</w:t>
            </w:r>
            <w:r>
              <w:rPr>
                <w:color w:val="000000" w:themeColor="text1"/>
              </w:rPr>
              <w:t>.0</w:t>
            </w:r>
          </w:p>
        </w:tc>
        <w:tc>
          <w:tcPr>
            <w:tcW w:w="1321" w:type="dxa"/>
            <w:tcBorders>
              <w:top w:val="nil"/>
              <w:left w:val="nil"/>
              <w:bottom w:val="nil"/>
              <w:right w:val="nil"/>
            </w:tcBorders>
            <w:vAlign w:val="center"/>
          </w:tcPr>
          <w:p w14:paraId="1F821E39" w14:textId="77777777" w:rsidR="00473EEA" w:rsidRPr="006C0348" w:rsidRDefault="00473EEA" w:rsidP="00384BA8">
            <w:pPr>
              <w:pStyle w:val="TableBody"/>
              <w:jc w:val="center"/>
              <w:rPr>
                <w:color w:val="000000" w:themeColor="text1"/>
              </w:rPr>
            </w:pPr>
            <w:r>
              <w:rPr>
                <w:color w:val="000000" w:themeColor="text1"/>
              </w:rPr>
              <w:t>7.0</w:t>
            </w:r>
          </w:p>
        </w:tc>
        <w:tc>
          <w:tcPr>
            <w:tcW w:w="1321" w:type="dxa"/>
            <w:tcBorders>
              <w:top w:val="nil"/>
              <w:left w:val="nil"/>
              <w:bottom w:val="nil"/>
              <w:right w:val="nil"/>
            </w:tcBorders>
            <w:vAlign w:val="center"/>
          </w:tcPr>
          <w:p w14:paraId="5DCE35DD" w14:textId="77777777" w:rsidR="00473EEA" w:rsidRPr="00C22A03" w:rsidRDefault="00473EEA" w:rsidP="00384BA8">
            <w:pPr>
              <w:pStyle w:val="TableBody"/>
              <w:jc w:val="center"/>
              <w:rPr>
                <w:color w:val="000000" w:themeColor="text1"/>
              </w:rPr>
            </w:pPr>
            <w:r>
              <w:rPr>
                <w:color w:val="000000" w:themeColor="text1"/>
              </w:rPr>
              <w:t>0.0</w:t>
            </w:r>
          </w:p>
        </w:tc>
      </w:tr>
      <w:tr w:rsidR="00473EEA" w14:paraId="182767E6" w14:textId="77777777" w:rsidTr="00384BA8">
        <w:trPr>
          <w:gridAfter w:val="1"/>
          <w:wAfter w:w="29" w:type="dxa"/>
          <w:trHeight w:val="320"/>
        </w:trPr>
        <w:tc>
          <w:tcPr>
            <w:tcW w:w="1260" w:type="dxa"/>
            <w:tcBorders>
              <w:top w:val="nil"/>
              <w:left w:val="nil"/>
              <w:bottom w:val="nil"/>
              <w:right w:val="nil"/>
            </w:tcBorders>
            <w:shd w:val="clear" w:color="auto" w:fill="auto"/>
            <w:noWrap/>
            <w:vAlign w:val="center"/>
            <w:hideMark/>
          </w:tcPr>
          <w:p w14:paraId="406046F9" w14:textId="77777777" w:rsidR="00473EEA" w:rsidRDefault="00473EEA" w:rsidP="00384BA8">
            <w:pPr>
              <w:pStyle w:val="TableBody"/>
            </w:pPr>
            <w:r w:rsidRPr="00082BA5">
              <w:t>AFR</w:t>
            </w:r>
          </w:p>
        </w:tc>
        <w:tc>
          <w:tcPr>
            <w:tcW w:w="1710" w:type="dxa"/>
            <w:tcBorders>
              <w:top w:val="nil"/>
              <w:left w:val="nil"/>
              <w:bottom w:val="nil"/>
              <w:right w:val="nil"/>
            </w:tcBorders>
            <w:shd w:val="clear" w:color="auto" w:fill="auto"/>
            <w:noWrap/>
            <w:vAlign w:val="center"/>
            <w:hideMark/>
          </w:tcPr>
          <w:p w14:paraId="488F985F" w14:textId="77777777" w:rsidR="00473EEA" w:rsidRDefault="00473EEA" w:rsidP="00384BA8">
            <w:pPr>
              <w:pStyle w:val="TableBody"/>
              <w:rPr>
                <w:sz w:val="24"/>
                <w:szCs w:val="24"/>
              </w:rPr>
            </w:pPr>
            <w:r>
              <w:t>Comoros</w:t>
            </w:r>
          </w:p>
        </w:tc>
        <w:tc>
          <w:tcPr>
            <w:tcW w:w="1360" w:type="dxa"/>
            <w:tcBorders>
              <w:top w:val="nil"/>
              <w:left w:val="nil"/>
              <w:bottom w:val="nil"/>
              <w:right w:val="nil"/>
            </w:tcBorders>
            <w:shd w:val="clear" w:color="auto" w:fill="auto"/>
            <w:noWrap/>
            <w:vAlign w:val="center"/>
          </w:tcPr>
          <w:p w14:paraId="47D54D27" w14:textId="77777777" w:rsidR="00473EEA" w:rsidRPr="00700C8B" w:rsidRDefault="00473EEA" w:rsidP="00384BA8">
            <w:pPr>
              <w:pStyle w:val="TableBody"/>
              <w:jc w:val="center"/>
              <w:rPr>
                <w:color w:val="000000" w:themeColor="text1"/>
              </w:rPr>
            </w:pPr>
            <w:r w:rsidRPr="00700C8B">
              <w:rPr>
                <w:color w:val="000000" w:themeColor="text1"/>
              </w:rPr>
              <w:t>2006</w:t>
            </w:r>
          </w:p>
        </w:tc>
        <w:tc>
          <w:tcPr>
            <w:tcW w:w="1350" w:type="dxa"/>
            <w:tcBorders>
              <w:top w:val="nil"/>
              <w:left w:val="nil"/>
              <w:bottom w:val="nil"/>
              <w:right w:val="nil"/>
            </w:tcBorders>
            <w:vAlign w:val="center"/>
          </w:tcPr>
          <w:p w14:paraId="5CFDA66F" w14:textId="77777777" w:rsidR="00473EEA" w:rsidRDefault="00473EEA" w:rsidP="00384BA8">
            <w:pPr>
              <w:pStyle w:val="TableBody"/>
              <w:jc w:val="center"/>
            </w:pPr>
            <w:r>
              <w:t>Partly free</w:t>
            </w:r>
          </w:p>
        </w:tc>
        <w:tc>
          <w:tcPr>
            <w:tcW w:w="1279" w:type="dxa"/>
            <w:tcBorders>
              <w:top w:val="nil"/>
              <w:left w:val="nil"/>
              <w:bottom w:val="nil"/>
              <w:right w:val="nil"/>
            </w:tcBorders>
            <w:vAlign w:val="center"/>
          </w:tcPr>
          <w:p w14:paraId="09E6E54A" w14:textId="77777777" w:rsidR="00473EEA" w:rsidRPr="001A6581" w:rsidRDefault="00473EEA" w:rsidP="00384BA8">
            <w:pPr>
              <w:pStyle w:val="TableBody"/>
              <w:jc w:val="center"/>
              <w:rPr>
                <w:color w:val="000000" w:themeColor="text1"/>
              </w:rPr>
            </w:pPr>
            <w:r w:rsidRPr="001A6581">
              <w:rPr>
                <w:color w:val="000000" w:themeColor="text1"/>
              </w:rPr>
              <w:t>3.5</w:t>
            </w:r>
          </w:p>
        </w:tc>
        <w:tc>
          <w:tcPr>
            <w:tcW w:w="1321" w:type="dxa"/>
            <w:tcBorders>
              <w:top w:val="nil"/>
              <w:left w:val="nil"/>
              <w:bottom w:val="nil"/>
              <w:right w:val="nil"/>
            </w:tcBorders>
            <w:vAlign w:val="center"/>
          </w:tcPr>
          <w:p w14:paraId="79F7101C" w14:textId="77777777" w:rsidR="00473EEA" w:rsidRPr="006C0348" w:rsidRDefault="00473EEA" w:rsidP="00384BA8">
            <w:pPr>
              <w:pStyle w:val="TableBody"/>
              <w:jc w:val="center"/>
              <w:rPr>
                <w:color w:val="000000" w:themeColor="text1"/>
              </w:rPr>
            </w:pPr>
            <w:r>
              <w:rPr>
                <w:color w:val="000000" w:themeColor="text1"/>
              </w:rPr>
              <w:t>4.0</w:t>
            </w:r>
          </w:p>
        </w:tc>
        <w:tc>
          <w:tcPr>
            <w:tcW w:w="1321" w:type="dxa"/>
            <w:tcBorders>
              <w:top w:val="nil"/>
              <w:left w:val="nil"/>
              <w:bottom w:val="nil"/>
              <w:right w:val="nil"/>
            </w:tcBorders>
            <w:vAlign w:val="center"/>
          </w:tcPr>
          <w:p w14:paraId="16320646" w14:textId="77777777" w:rsidR="00473EEA" w:rsidRPr="00C22A03" w:rsidRDefault="00473EEA" w:rsidP="00384BA8">
            <w:pPr>
              <w:pStyle w:val="TableBody"/>
              <w:jc w:val="center"/>
              <w:rPr>
                <w:color w:val="000000" w:themeColor="text1"/>
              </w:rPr>
            </w:pPr>
            <w:r>
              <w:rPr>
                <w:color w:val="000000" w:themeColor="text1"/>
              </w:rPr>
              <w:t>0.5</w:t>
            </w:r>
          </w:p>
        </w:tc>
      </w:tr>
      <w:tr w:rsidR="00473EEA" w14:paraId="5917CBF0" w14:textId="77777777" w:rsidTr="00384BA8">
        <w:trPr>
          <w:gridAfter w:val="1"/>
          <w:wAfter w:w="29" w:type="dxa"/>
          <w:trHeight w:val="320"/>
        </w:trPr>
        <w:tc>
          <w:tcPr>
            <w:tcW w:w="1260" w:type="dxa"/>
            <w:tcBorders>
              <w:top w:val="nil"/>
              <w:left w:val="nil"/>
              <w:bottom w:val="single" w:sz="18" w:space="0" w:color="auto"/>
              <w:right w:val="nil"/>
            </w:tcBorders>
            <w:shd w:val="clear" w:color="auto" w:fill="auto"/>
            <w:noWrap/>
            <w:vAlign w:val="center"/>
            <w:hideMark/>
          </w:tcPr>
          <w:p w14:paraId="3AC9AC6F" w14:textId="77777777" w:rsidR="00473EEA" w:rsidRDefault="00473EEA" w:rsidP="00384BA8">
            <w:pPr>
              <w:pStyle w:val="TableBody"/>
            </w:pPr>
            <w:r w:rsidRPr="00082BA5">
              <w:t>AFR</w:t>
            </w:r>
          </w:p>
        </w:tc>
        <w:tc>
          <w:tcPr>
            <w:tcW w:w="1710" w:type="dxa"/>
            <w:tcBorders>
              <w:top w:val="nil"/>
              <w:left w:val="nil"/>
              <w:bottom w:val="single" w:sz="18" w:space="0" w:color="auto"/>
              <w:right w:val="nil"/>
            </w:tcBorders>
            <w:shd w:val="clear" w:color="auto" w:fill="auto"/>
            <w:noWrap/>
            <w:vAlign w:val="center"/>
            <w:hideMark/>
          </w:tcPr>
          <w:p w14:paraId="65E8FBE8" w14:textId="77777777" w:rsidR="00473EEA" w:rsidRDefault="00473EEA" w:rsidP="00384BA8">
            <w:pPr>
              <w:pStyle w:val="TableBody"/>
              <w:rPr>
                <w:sz w:val="24"/>
                <w:szCs w:val="24"/>
              </w:rPr>
            </w:pPr>
            <w:r>
              <w:t>Somalia (II)</w:t>
            </w:r>
          </w:p>
        </w:tc>
        <w:tc>
          <w:tcPr>
            <w:tcW w:w="1360" w:type="dxa"/>
            <w:tcBorders>
              <w:top w:val="nil"/>
              <w:left w:val="nil"/>
              <w:bottom w:val="single" w:sz="18" w:space="0" w:color="auto"/>
              <w:right w:val="nil"/>
            </w:tcBorders>
            <w:shd w:val="clear" w:color="auto" w:fill="auto"/>
            <w:noWrap/>
            <w:vAlign w:val="center"/>
          </w:tcPr>
          <w:p w14:paraId="3614EE77" w14:textId="77777777" w:rsidR="00473EEA" w:rsidRPr="00700C8B" w:rsidRDefault="00473EEA" w:rsidP="00384BA8">
            <w:pPr>
              <w:pStyle w:val="TableBody"/>
              <w:jc w:val="center"/>
              <w:rPr>
                <w:color w:val="000000" w:themeColor="text1"/>
              </w:rPr>
            </w:pPr>
            <w:r w:rsidRPr="00700C8B">
              <w:rPr>
                <w:color w:val="000000" w:themeColor="text1"/>
              </w:rPr>
              <w:t>2007</w:t>
            </w:r>
          </w:p>
        </w:tc>
        <w:tc>
          <w:tcPr>
            <w:tcW w:w="1350" w:type="dxa"/>
            <w:tcBorders>
              <w:top w:val="nil"/>
              <w:left w:val="nil"/>
              <w:bottom w:val="single" w:sz="18" w:space="0" w:color="auto"/>
              <w:right w:val="nil"/>
            </w:tcBorders>
            <w:vAlign w:val="center"/>
          </w:tcPr>
          <w:p w14:paraId="5C0D1662" w14:textId="77777777" w:rsidR="00473EEA" w:rsidRDefault="00473EEA" w:rsidP="00384BA8">
            <w:pPr>
              <w:pStyle w:val="TableBody"/>
              <w:jc w:val="center"/>
            </w:pPr>
            <w:r>
              <w:t>Not free</w:t>
            </w:r>
          </w:p>
        </w:tc>
        <w:tc>
          <w:tcPr>
            <w:tcW w:w="1279" w:type="dxa"/>
            <w:tcBorders>
              <w:top w:val="nil"/>
              <w:left w:val="nil"/>
              <w:bottom w:val="single" w:sz="18" w:space="0" w:color="auto"/>
              <w:right w:val="nil"/>
            </w:tcBorders>
            <w:vAlign w:val="center"/>
          </w:tcPr>
          <w:p w14:paraId="7D208E8E" w14:textId="77777777" w:rsidR="00473EEA" w:rsidRPr="001A6581" w:rsidRDefault="00473EEA" w:rsidP="00384BA8">
            <w:pPr>
              <w:pStyle w:val="TableBody"/>
              <w:jc w:val="center"/>
              <w:rPr>
                <w:color w:val="000000" w:themeColor="text1"/>
              </w:rPr>
            </w:pPr>
            <w:r w:rsidRPr="001A6581">
              <w:rPr>
                <w:color w:val="000000" w:themeColor="text1"/>
              </w:rPr>
              <w:t>7</w:t>
            </w:r>
            <w:r>
              <w:rPr>
                <w:color w:val="000000" w:themeColor="text1"/>
              </w:rPr>
              <w:t>.0</w:t>
            </w:r>
          </w:p>
        </w:tc>
        <w:tc>
          <w:tcPr>
            <w:tcW w:w="1321" w:type="dxa"/>
            <w:tcBorders>
              <w:top w:val="nil"/>
              <w:left w:val="nil"/>
              <w:bottom w:val="single" w:sz="18" w:space="0" w:color="auto"/>
              <w:right w:val="nil"/>
            </w:tcBorders>
            <w:vAlign w:val="center"/>
          </w:tcPr>
          <w:p w14:paraId="6509DF6F" w14:textId="77777777" w:rsidR="00473EEA" w:rsidRPr="006C0348" w:rsidRDefault="00473EEA" w:rsidP="00384BA8">
            <w:pPr>
              <w:pStyle w:val="TableBody"/>
              <w:jc w:val="center"/>
              <w:rPr>
                <w:color w:val="000000" w:themeColor="text1"/>
              </w:rPr>
            </w:pPr>
            <w:r>
              <w:rPr>
                <w:color w:val="000000" w:themeColor="text1"/>
              </w:rPr>
              <w:t>7.0</w:t>
            </w:r>
          </w:p>
        </w:tc>
        <w:tc>
          <w:tcPr>
            <w:tcW w:w="1321" w:type="dxa"/>
            <w:tcBorders>
              <w:top w:val="nil"/>
              <w:left w:val="nil"/>
              <w:bottom w:val="single" w:sz="18" w:space="0" w:color="auto"/>
              <w:right w:val="nil"/>
            </w:tcBorders>
            <w:vAlign w:val="center"/>
          </w:tcPr>
          <w:p w14:paraId="46CD9D49" w14:textId="77777777" w:rsidR="00473EEA" w:rsidRPr="00C22A03" w:rsidRDefault="00473EEA" w:rsidP="00384BA8">
            <w:pPr>
              <w:pStyle w:val="TableBody"/>
              <w:jc w:val="center"/>
              <w:rPr>
                <w:color w:val="000000" w:themeColor="text1"/>
              </w:rPr>
            </w:pPr>
            <w:r>
              <w:rPr>
                <w:color w:val="000000" w:themeColor="text1"/>
              </w:rPr>
              <w:t>0.0</w:t>
            </w:r>
          </w:p>
        </w:tc>
      </w:tr>
      <w:tr w:rsidR="00473EEA" w14:paraId="38FD78EF" w14:textId="77777777" w:rsidTr="00384BA8">
        <w:trPr>
          <w:trHeight w:val="320"/>
        </w:trPr>
        <w:tc>
          <w:tcPr>
            <w:tcW w:w="9630" w:type="dxa"/>
            <w:gridSpan w:val="8"/>
            <w:tcBorders>
              <w:top w:val="single" w:sz="18" w:space="0" w:color="auto"/>
              <w:left w:val="nil"/>
              <w:right w:val="nil"/>
            </w:tcBorders>
            <w:shd w:val="clear" w:color="auto" w:fill="auto"/>
            <w:noWrap/>
            <w:hideMark/>
          </w:tcPr>
          <w:p w14:paraId="00F7AEE7" w14:textId="77777777" w:rsidR="00473EEA" w:rsidRPr="009A74F2" w:rsidRDefault="00473EEA" w:rsidP="00384BA8">
            <w:pPr>
              <w:pStyle w:val="TableBody"/>
              <w:rPr>
                <w:color w:val="000000" w:themeColor="text1"/>
              </w:rPr>
            </w:pPr>
            <w:r w:rsidRPr="006A1061">
              <w:rPr>
                <w:color w:val="000000" w:themeColor="text1"/>
              </w:rPr>
              <w:t>NOTES:</w:t>
            </w:r>
            <w:r>
              <w:rPr>
                <w:color w:val="000000" w:themeColor="text1"/>
              </w:rPr>
              <w:t xml:space="preserve"> (1) The Lake Chad Basin case has been excluded from this table because scores for multiple countries could not be aggregated in a meaningfully way. (2) Freedom House scores range from 1 (free) to 7 (not free). (3) 1998 is the first year for which Freedom House scores are available. In cases where the intervention came before 1998, we have added the data in 1998 or 1999 in italics. (4) Freedom House scores were not available for the sub-national regions of Eastern Slavonia and Darfur, so those for Croatia and Sudan, respectively, have been used as proxies. (5) In Appendix Table A.5, we also present data from the Polity score, which are broadly comparable to these results.</w:t>
            </w:r>
          </w:p>
        </w:tc>
      </w:tr>
    </w:tbl>
    <w:p w14:paraId="6F153852" w14:textId="77777777" w:rsidR="00473EEA" w:rsidRDefault="00473EEA" w:rsidP="00473EEA"/>
    <w:p w14:paraId="1C1EA2BE" w14:textId="77777777" w:rsidR="00473EEA" w:rsidRDefault="00473EEA" w:rsidP="00473EEA">
      <w:pPr>
        <w:pStyle w:val="TableNote"/>
        <w:rPr>
          <w:color w:val="000000" w:themeColor="text1"/>
        </w:rPr>
      </w:pPr>
      <w:r>
        <w:t>SOURCES: RAND, MG-722 (2008)</w:t>
      </w:r>
      <w:r w:rsidRPr="004F6665">
        <w:t>;</w:t>
      </w:r>
      <w:r>
        <w:t xml:space="preserve"> Freedom House, “Freedom in the World” (2018).</w:t>
      </w:r>
      <w:r w:rsidRPr="007B374E">
        <w:rPr>
          <w:color w:val="000000" w:themeColor="text1"/>
        </w:rPr>
        <w:t xml:space="preserve">  </w:t>
      </w:r>
    </w:p>
    <w:p w14:paraId="5E561DBA" w14:textId="77777777" w:rsidR="00473EEA" w:rsidRDefault="00473EEA" w:rsidP="00473EEA">
      <w:pPr>
        <w:pStyle w:val="TableNote"/>
        <w:rPr>
          <w:color w:val="000000" w:themeColor="text1"/>
        </w:rPr>
      </w:pPr>
    </w:p>
    <w:p w14:paraId="54E1D4EA" w14:textId="4420CEB1" w:rsidR="003538E6" w:rsidRDefault="003538E6" w:rsidP="003538E6">
      <w:pPr>
        <w:rPr>
          <w:rFonts w:ascii="Arial" w:hAnsi="Arial"/>
          <w:b/>
        </w:rPr>
      </w:pPr>
    </w:p>
    <w:p w14:paraId="39A638C3" w14:textId="38DC7039" w:rsidR="008551CC" w:rsidRDefault="008551CC">
      <w:pPr>
        <w:spacing w:after="0"/>
        <w:rPr>
          <w:rFonts w:ascii="Arial" w:hAnsi="Arial"/>
          <w:b/>
        </w:rPr>
      </w:pPr>
      <w:r>
        <w:rPr>
          <w:rFonts w:ascii="Arial" w:hAnsi="Arial"/>
          <w:b/>
        </w:rPr>
        <w:br w:type="page"/>
      </w:r>
    </w:p>
    <w:p w14:paraId="15D12EFD" w14:textId="4E3A69D2" w:rsidR="0066354D" w:rsidRDefault="0066354D" w:rsidP="0066354D">
      <w:pPr>
        <w:pStyle w:val="Heading7"/>
      </w:pPr>
      <w:bookmarkStart w:id="9" w:name="_Toc3301003"/>
      <w:r>
        <w:lastRenderedPageBreak/>
        <w:t>Refugee Returns After Five Years (Percentage)</w:t>
      </w:r>
      <w:bookmarkEnd w:id="9"/>
    </w:p>
    <w:p w14:paraId="15045004" w14:textId="77777777" w:rsidR="0066354D" w:rsidRDefault="0066354D" w:rsidP="0066354D">
      <w:pPr>
        <w:pStyle w:val="FigurePlacement"/>
      </w:pPr>
      <w:r w:rsidRPr="00212290">
        <w:rPr>
          <w:rFonts w:asciiTheme="majorHAnsi" w:hAnsiTheme="majorHAnsi" w:cstheme="majorHAnsi"/>
          <w:noProof/>
          <w:lang w:val="en-ZA" w:eastAsia="en-ZA"/>
        </w:rPr>
        <w:drawing>
          <wp:inline distT="0" distB="0" distL="0" distR="0" wp14:anchorId="15EA18DF" wp14:editId="50C8D5F6">
            <wp:extent cx="5943600" cy="3632200"/>
            <wp:effectExtent l="0" t="0" r="0" b="0"/>
            <wp:docPr id="15" name="Chart 15">
              <a:extLst xmlns:a="http://schemas.openxmlformats.org/drawingml/2006/main">
                <a:ext uri="{FF2B5EF4-FFF2-40B4-BE49-F238E27FC236}">
                  <a16:creationId xmlns:a16="http://schemas.microsoft.com/office/drawing/2014/main" id="{55987E6A-9C74-054F-B872-09BE0CD8A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7E7474" w14:textId="77777777" w:rsidR="0066354D" w:rsidRDefault="0066354D" w:rsidP="0066354D">
      <w:pPr>
        <w:pStyle w:val="FigureNote"/>
      </w:pPr>
      <w:r>
        <w:t xml:space="preserve">NOTES: (1) </w:t>
      </w:r>
      <w:r w:rsidRPr="00A22E72">
        <w:t xml:space="preserve">Germany and Japan are excluded because all refugees were stranded </w:t>
      </w:r>
      <w:proofErr w:type="gramStart"/>
      <w:r w:rsidRPr="00A22E72">
        <w:t>as a result of</w:t>
      </w:r>
      <w:proofErr w:type="gramEnd"/>
      <w:r w:rsidRPr="00A22E72">
        <w:t xml:space="preserve"> offensive operations by a state military or deliberate government colonization, not civilians fleeing a conflict. </w:t>
      </w:r>
      <w:r>
        <w:t xml:space="preserve">(2) </w:t>
      </w:r>
      <w:r w:rsidRPr="00A22E72">
        <w:t>Belgian Congo is excluded because there were insufficient data.</w:t>
      </w:r>
      <w:r>
        <w:t xml:space="preserve"> (3) Comoros is excluded because the number of refugees was negligible (less than 100 in the first year of intervention). (4) The Lake Chad Basin countries are excluded because reliable figures could not be aggregated for the districts affected by the Boko Haram conflict. (5) Darfur is excluded because reliable sub-national data could not be obtained.</w:t>
      </w:r>
    </w:p>
    <w:p w14:paraId="4B467F86" w14:textId="77777777" w:rsidR="0066354D" w:rsidRPr="00C116AA" w:rsidRDefault="0066354D" w:rsidP="0066354D">
      <w:pPr>
        <w:pStyle w:val="FigureNote"/>
      </w:pPr>
      <w:r>
        <w:t xml:space="preserve">SOURCES: RAND, MG-722 (2008); UNHCR Statistical Online Refugee Population Database. </w:t>
      </w:r>
    </w:p>
    <w:p w14:paraId="6A971B68" w14:textId="77777777" w:rsidR="0066354D" w:rsidRDefault="0066354D" w:rsidP="0066354D"/>
    <w:p w14:paraId="42035BEB" w14:textId="77777777" w:rsidR="0066354D" w:rsidRDefault="0066354D" w:rsidP="0066354D">
      <w:r>
        <w:br w:type="page"/>
      </w:r>
    </w:p>
    <w:p w14:paraId="7BF3D360" w14:textId="77491A35" w:rsidR="00BE3C16" w:rsidRDefault="00BE3C16" w:rsidP="00BE3C16">
      <w:pPr>
        <w:pStyle w:val="Heading7"/>
        <w:rPr>
          <w:color w:val="FF0000"/>
        </w:rPr>
      </w:pPr>
      <w:bookmarkStart w:id="10" w:name="_Toc517796899"/>
      <w:bookmarkStart w:id="11" w:name="_Toc519899703"/>
      <w:bookmarkStart w:id="12" w:name="_Toc3301005"/>
      <w:r>
        <w:lastRenderedPageBreak/>
        <w:t>Average Annual Growth in Per Capita GDP Over the First Five Years of Operations (percent)</w:t>
      </w:r>
      <w:bookmarkEnd w:id="10"/>
      <w:bookmarkEnd w:id="11"/>
      <w:bookmarkEnd w:id="12"/>
    </w:p>
    <w:p w14:paraId="540109C7" w14:textId="77777777" w:rsidR="00BE3C16" w:rsidRPr="009C32DF" w:rsidRDefault="00BE3C16" w:rsidP="00BE3C16">
      <w:pPr>
        <w:pStyle w:val="FigurePlacement"/>
      </w:pPr>
      <w:r>
        <w:rPr>
          <w:noProof/>
          <w:lang w:val="en-ZA" w:eastAsia="en-ZA"/>
        </w:rPr>
        <w:drawing>
          <wp:inline distT="0" distB="0" distL="0" distR="0" wp14:anchorId="358487C1" wp14:editId="3858C544">
            <wp:extent cx="5943600" cy="3665220"/>
            <wp:effectExtent l="0" t="0" r="0" b="5080"/>
            <wp:docPr id="3" name="Chart 3">
              <a:extLst xmlns:a="http://schemas.openxmlformats.org/drawingml/2006/main">
                <a:ext uri="{FF2B5EF4-FFF2-40B4-BE49-F238E27FC236}">
                  <a16:creationId xmlns:a16="http://schemas.microsoft.com/office/drawing/2014/main" id="{088C5EF0-D8A3-104A-AB83-472FD692BB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E0F388" w14:textId="77777777" w:rsidR="00BE3C16" w:rsidRDefault="00BE3C16" w:rsidP="00BE3C16">
      <w:pPr>
        <w:pStyle w:val="FigureNote"/>
      </w:pPr>
      <w:r>
        <w:t xml:space="preserve">NOTES: (1) </w:t>
      </w:r>
      <w:r w:rsidRPr="00ED154A">
        <w:t>Reliable GDP data were not available for Somalia</w:t>
      </w:r>
      <w:r>
        <w:t>, Darfur, and Eastern Slavonia, so they are</w:t>
      </w:r>
      <w:r w:rsidRPr="00ED154A">
        <w:t xml:space="preserve"> </w:t>
      </w:r>
      <w:r>
        <w:t>not included in this figure.  (2) Data could not meaningfully be aggregated for the Lake Chad Basin countries, so data for that case has been excluded as well.</w:t>
      </w:r>
    </w:p>
    <w:p w14:paraId="3EEB72E3" w14:textId="77777777" w:rsidR="00BE3C16" w:rsidRDefault="00BE3C16" w:rsidP="00BE3C16">
      <w:pPr>
        <w:pStyle w:val="FigureNote"/>
      </w:pPr>
      <w:r>
        <w:t>SOURCES: RAND, MG-722 (2008); IMF, International Financial Statistics Database; World Bank, World Development Indicators Database.</w:t>
      </w:r>
    </w:p>
    <w:p w14:paraId="69A33711" w14:textId="77777777" w:rsidR="00BE3C16" w:rsidRDefault="00BE3C16" w:rsidP="00BE3C16">
      <w:r>
        <w:br w:type="page"/>
      </w:r>
    </w:p>
    <w:p w14:paraId="76B1FB6F" w14:textId="3371716E" w:rsidR="003538E6" w:rsidRDefault="003538E6" w:rsidP="003538E6">
      <w:pPr>
        <w:pStyle w:val="Heading7"/>
      </w:pPr>
      <w:bookmarkStart w:id="13" w:name="_Toc3301004"/>
      <w:bookmarkStart w:id="14" w:name="_Toc519899702"/>
      <w:r>
        <w:lastRenderedPageBreak/>
        <w:t>Average Annual Per Capita Assistance Over First Two Years of Operations (2000 US$)</w:t>
      </w:r>
      <w:bookmarkEnd w:id="13"/>
      <w:r>
        <w:t xml:space="preserve"> </w:t>
      </w:r>
      <w:bookmarkEnd w:id="14"/>
    </w:p>
    <w:p w14:paraId="2507B6C7" w14:textId="77777777" w:rsidR="003538E6" w:rsidRDefault="003538E6" w:rsidP="003538E6">
      <w:pPr>
        <w:pStyle w:val="FigureNote"/>
      </w:pPr>
      <w:r>
        <w:rPr>
          <w:noProof/>
          <w:lang w:val="en-ZA" w:eastAsia="en-ZA"/>
        </w:rPr>
        <w:drawing>
          <wp:inline distT="0" distB="0" distL="0" distR="0" wp14:anchorId="35219C14" wp14:editId="656D7E2C">
            <wp:extent cx="5943600" cy="3728085"/>
            <wp:effectExtent l="0" t="0" r="0" b="5715"/>
            <wp:docPr id="40" name="Chart 40">
              <a:extLst xmlns:a="http://schemas.openxmlformats.org/drawingml/2006/main">
                <a:ext uri="{FF2B5EF4-FFF2-40B4-BE49-F238E27FC236}">
                  <a16:creationId xmlns:a16="http://schemas.microsoft.com/office/drawing/2014/main" id="{C12FD309-087D-564B-8F53-08DCB558F7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NOTES: (1) Per capita aid to Germany is aid to the U.S. sector only.  (2) Sub-national Official Development Assistance (ODA) data for the Darfur region not available, so it has been excluded. (3) ODA data for areas of the Lake Chad Basin affected by armed conflict with Boko Haram could also not be obtained, so this case is excluded. (4) Official Develop Assistance (ODA) in current dollars has been converted to constant 2000 US$ using the GDP deflator. </w:t>
      </w:r>
    </w:p>
    <w:p w14:paraId="33FBC809" w14:textId="77777777" w:rsidR="003538E6" w:rsidRPr="001D7332" w:rsidRDefault="003538E6" w:rsidP="003538E6">
      <w:pPr>
        <w:pStyle w:val="FigureNote"/>
      </w:pPr>
      <w:bookmarkStart w:id="15" w:name="OLE_LINK2"/>
      <w:r>
        <w:t>SOURCES: RAND, MG-722 (2008); World Bank, World Development Indicators Database.</w:t>
      </w:r>
    </w:p>
    <w:bookmarkEnd w:id="15"/>
    <w:p w14:paraId="5D35CFA5" w14:textId="77777777" w:rsidR="003538E6" w:rsidRDefault="003538E6" w:rsidP="003538E6">
      <w:r>
        <w:br w:type="page"/>
      </w:r>
    </w:p>
    <w:p w14:paraId="2CB1B937" w14:textId="5F982C7E" w:rsidR="003538E6" w:rsidRDefault="003538E6" w:rsidP="003538E6">
      <w:pPr>
        <w:pStyle w:val="Heading7"/>
      </w:pPr>
      <w:r>
        <w:lastRenderedPageBreak/>
        <w:t>Peak Military Presence (Number of Troops Deployed)</w:t>
      </w:r>
      <w:bookmarkEnd w:id="4"/>
      <w:bookmarkEnd w:id="5"/>
    </w:p>
    <w:p w14:paraId="391B3B10" w14:textId="77777777" w:rsidR="003538E6" w:rsidRPr="00583FE0" w:rsidRDefault="003538E6" w:rsidP="003538E6">
      <w:pPr>
        <w:pStyle w:val="FigurePlacement"/>
      </w:pPr>
      <w:r>
        <w:rPr>
          <w:noProof/>
          <w:lang w:val="en-ZA" w:eastAsia="en-ZA"/>
        </w:rPr>
        <w:drawing>
          <wp:inline distT="0" distB="0" distL="0" distR="0" wp14:anchorId="697A826F" wp14:editId="1BEAD02A">
            <wp:extent cx="6261100" cy="4191000"/>
            <wp:effectExtent l="0" t="0" r="0" b="0"/>
            <wp:docPr id="43" name="Chart 43">
              <a:extLst xmlns:a="http://schemas.openxmlformats.org/drawingml/2006/main">
                <a:ext uri="{FF2B5EF4-FFF2-40B4-BE49-F238E27FC236}">
                  <a16:creationId xmlns:a16="http://schemas.microsoft.com/office/drawing/2014/main" id="{93C3E580-7EA7-1C49-9205-0F8944496E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B5A49C" w14:textId="77777777" w:rsidR="003538E6" w:rsidRDefault="003538E6" w:rsidP="003538E6">
      <w:pPr>
        <w:pStyle w:val="FigureNote"/>
      </w:pPr>
      <w:r>
        <w:t>NOTES</w:t>
      </w:r>
      <w:r w:rsidRPr="00D34485">
        <w:t xml:space="preserve">: </w:t>
      </w:r>
      <w:r>
        <w:t xml:space="preserve">(1) In three cases, leadership transitioned between continuous lead actors: In Bosnia in 2004, the EU (EUFOR) assumed responsibility from the U.S./NATO (IFOR/SFOR); in Burundi in 2004, the UN (ONUB) assumed responsibility from the AU (AMIB); and in Darfur in 2008, the UN/AU hybrid mission (UNAMID) assumed responsibility from the AU (AMIS). In Bosnia, US/NATO forces deployed under IFOR/SFOR peaked at 60,000 in 1995, while those deployed under the EU mission (EUFOR) peaked at 5,700 in 2005.  </w:t>
      </w:r>
      <w:r w:rsidRPr="00D34485">
        <w:t>In Darfur, AU forces deployed under AMIS peaked at 5,874 in 2006, while those deployed under the joint AU-UN mission (UNNAMID) peaked at 17,778 in 2012.  In Burundi, AU military t</w:t>
      </w:r>
      <w:r>
        <w:t>r</w:t>
      </w:r>
      <w:r w:rsidRPr="00D34485">
        <w:t>oops deployed under AMIB peaked at 3,</w:t>
      </w:r>
      <w:r>
        <w:t xml:space="preserve">128 in 2004, while those </w:t>
      </w:r>
      <w:r w:rsidRPr="00D34485">
        <w:t>deployed under</w:t>
      </w:r>
      <w:r>
        <w:t xml:space="preserve"> the UN mission</w:t>
      </w:r>
      <w:r w:rsidRPr="00D34485">
        <w:t xml:space="preserve"> </w:t>
      </w:r>
      <w:r>
        <w:t>(</w:t>
      </w:r>
      <w:r w:rsidRPr="00D34485">
        <w:t>ONUB</w:t>
      </w:r>
      <w:r>
        <w:t>)</w:t>
      </w:r>
      <w:r w:rsidRPr="00D34485">
        <w:t xml:space="preserve"> peaked at 5,400 in 2005.</w:t>
      </w:r>
      <w:r>
        <w:t xml:space="preserve">  (2) In four cases, European or African forces operated coincidentally with – but as distinct missions from – an ongoing UN operation: In Sierra Leone, UK forces operated alongside UN forces; in Cote d’Ivoire French forces operated alongside UN forces; in DR Congo, EU forces operated alongside UN forces; and in CAR, AU forces operated alongside UN forces.  In each of these cases, the UN forces (and, indeed, total forces) peaked years after the European or African forces peaked.  </w:t>
      </w:r>
      <w:r w:rsidRPr="00D34485">
        <w:t xml:space="preserve">Note that in Sierra Leone the peak UK troop level occurred in 2000, while the peak </w:t>
      </w:r>
      <w:r>
        <w:t>UN troop level occurred in 2002; the total troop level peaked in 2002 when approximately 100 UK troops were deployed alongside some 17,368 UN troops</w:t>
      </w:r>
      <w:r w:rsidRPr="00D34485">
        <w:t>.</w:t>
      </w:r>
      <w:r>
        <w:t xml:space="preserve">  In Cote d’Ivoire, the peak French troop level occurred in 2007, while the peak UN troop level occurred in 2011.  In the DRC, the peak EU troop level occurred in 2006, while the peak UN troop level occurred in 2014.  And in CAR, the peak AU troop level occurred in 2014, while the peak UN troop level occurred in 2016.</w:t>
      </w:r>
    </w:p>
    <w:p w14:paraId="2778DFAC" w14:textId="77777777" w:rsidR="003538E6" w:rsidRDefault="003538E6" w:rsidP="003538E6">
      <w:pPr>
        <w:pStyle w:val="FigureNote"/>
      </w:pPr>
      <w:r>
        <w:t xml:space="preserve">SOURCES: RAND, MG-722 (2008); </w:t>
      </w:r>
      <w:r w:rsidRPr="009D6B5C">
        <w:t>Center on International Cooperation, “Annual Review of Global Peace Operations, 2008” (Center on I</w:t>
      </w:r>
      <w:r>
        <w:t>nternational Cooperation, 2008);</w:t>
      </w:r>
      <w:r w:rsidRPr="009D6B5C">
        <w:t xml:space="preserve"> IPI Peacekeeping Database</w:t>
      </w:r>
      <w:r>
        <w:t xml:space="preserve">, Providing for Peacekeeping; and summary tables in chapters above. </w:t>
      </w:r>
      <w:r>
        <w:br w:type="page"/>
      </w:r>
    </w:p>
    <w:p w14:paraId="4BDF21B1" w14:textId="46B3D9AD" w:rsidR="003538E6" w:rsidRDefault="003538E6" w:rsidP="003538E6">
      <w:pPr>
        <w:pStyle w:val="Heading7"/>
      </w:pPr>
      <w:bookmarkStart w:id="16" w:name="_Toc3300998"/>
      <w:r>
        <w:lastRenderedPageBreak/>
        <w:t>Peak Military Presence (Number of Troops Deployed per 1,000 Inhabitants)</w:t>
      </w:r>
      <w:bookmarkEnd w:id="16"/>
    </w:p>
    <w:p w14:paraId="4A1C5A98" w14:textId="77777777" w:rsidR="003538E6" w:rsidRDefault="003538E6" w:rsidP="003538E6">
      <w:pPr>
        <w:pStyle w:val="FigurePlacement"/>
        <w:ind w:left="-270"/>
      </w:pPr>
      <w:r w:rsidRPr="00332EED">
        <w:rPr>
          <w:rFonts w:asciiTheme="majorHAnsi" w:hAnsiTheme="majorHAnsi" w:cstheme="majorHAnsi"/>
          <w:noProof/>
          <w:lang w:val="en-ZA" w:eastAsia="en-ZA"/>
        </w:rPr>
        <w:drawing>
          <wp:inline distT="0" distB="0" distL="0" distR="0" wp14:anchorId="1A40AE0E" wp14:editId="3E621DE9">
            <wp:extent cx="6553200" cy="4545330"/>
            <wp:effectExtent l="0" t="0" r="0" b="1270"/>
            <wp:docPr id="44" name="Chart 44">
              <a:extLst xmlns:a="http://schemas.openxmlformats.org/drawingml/2006/main">
                <a:ext uri="{FF2B5EF4-FFF2-40B4-BE49-F238E27FC236}">
                  <a16:creationId xmlns:a16="http://schemas.microsoft.com/office/drawing/2014/main" id="{422CACC3-CDE0-3442-9FBD-767AB952E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CC4426" w14:textId="77777777" w:rsidR="003538E6" w:rsidRDefault="003538E6" w:rsidP="003538E6">
      <w:pPr>
        <w:pStyle w:val="FigureNote"/>
      </w:pPr>
      <w:r>
        <w:t>NOTES</w:t>
      </w:r>
      <w:r w:rsidRPr="00D34485">
        <w:t xml:space="preserve">: </w:t>
      </w:r>
      <w:r>
        <w:t>(1) See note in Figure 8.1 regarding missions involving contiguous and overlapping national and international contingents. (2) Per capita military presence for the Lake Chad Basin have been excluded because of the difficulty of attributing MNJTF presence to sub-national regions.</w:t>
      </w:r>
    </w:p>
    <w:p w14:paraId="035F31DC" w14:textId="77777777" w:rsidR="003538E6" w:rsidRDefault="003538E6" w:rsidP="003538E6">
      <w:pPr>
        <w:pStyle w:val="FigureNote"/>
      </w:pPr>
      <w:r>
        <w:t xml:space="preserve">SOURCES: RAND, MG-722 (2008); </w:t>
      </w:r>
      <w:r w:rsidRPr="009D6B5C">
        <w:t>Center on International Cooperation, “Annual Review of Global Peace Operations, 2008” (Center on I</w:t>
      </w:r>
      <w:r>
        <w:t>nternational Cooperation, 2008);</w:t>
      </w:r>
      <w:r w:rsidRPr="009D6B5C">
        <w:t xml:space="preserve"> IPI Peacekeeping Database</w:t>
      </w:r>
      <w:r>
        <w:t>, Providing for Peacekeeping; summary tables in chapters above.</w:t>
      </w:r>
    </w:p>
    <w:p w14:paraId="76088668" w14:textId="77777777" w:rsidR="003538E6" w:rsidRDefault="003538E6" w:rsidP="003538E6">
      <w:r>
        <w:br w:type="page"/>
      </w:r>
    </w:p>
    <w:p w14:paraId="40193A8B" w14:textId="6E9254DD" w:rsidR="003538E6" w:rsidRDefault="003538E6" w:rsidP="003538E6">
      <w:pPr>
        <w:pStyle w:val="Heading7"/>
      </w:pPr>
      <w:bookmarkStart w:id="17" w:name="_Toc517796893"/>
      <w:bookmarkStart w:id="18" w:name="_Toc519899697"/>
      <w:bookmarkStart w:id="19" w:name="_Toc3300999"/>
      <w:r>
        <w:lastRenderedPageBreak/>
        <w:t>Peak Civilian Police Presence (Number of Police Deployed)</w:t>
      </w:r>
      <w:bookmarkEnd w:id="17"/>
      <w:bookmarkEnd w:id="18"/>
      <w:bookmarkEnd w:id="19"/>
    </w:p>
    <w:p w14:paraId="22E7BC97" w14:textId="77777777" w:rsidR="003538E6" w:rsidRDefault="003538E6" w:rsidP="003538E6">
      <w:pPr>
        <w:pStyle w:val="FigurePlacement"/>
      </w:pPr>
      <w:r>
        <w:rPr>
          <w:noProof/>
          <w:lang w:val="en-ZA" w:eastAsia="en-ZA"/>
        </w:rPr>
        <w:drawing>
          <wp:inline distT="0" distB="0" distL="0" distR="0" wp14:anchorId="552250C8" wp14:editId="2081DA08">
            <wp:extent cx="5943600" cy="4102100"/>
            <wp:effectExtent l="0" t="0" r="0" b="0"/>
            <wp:docPr id="6" name="Chart 6">
              <a:extLst xmlns:a="http://schemas.openxmlformats.org/drawingml/2006/main">
                <a:ext uri="{FF2B5EF4-FFF2-40B4-BE49-F238E27FC236}">
                  <a16:creationId xmlns:a16="http://schemas.microsoft.com/office/drawing/2014/main" id="{0DD379BD-221C-5E4C-BD54-38037E1D98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14:paraId="2F3ABB62" w14:textId="77777777" w:rsidR="003538E6" w:rsidRDefault="003538E6" w:rsidP="003538E6">
      <w:pPr>
        <w:pStyle w:val="FigureNote"/>
      </w:pPr>
      <w:r>
        <w:t xml:space="preserve">NOTES: (1) In the U.S.-led missions in Germany, Japan, Afghanistan, and Iraq, no civilian police were deployed (except in advisory roles). (2) </w:t>
      </w:r>
      <w:r w:rsidRPr="009D6B5C">
        <w:t xml:space="preserve">All the civilian </w:t>
      </w:r>
      <w:r w:rsidRPr="00DD23E9">
        <w:t>police</w:t>
      </w:r>
      <w:r w:rsidRPr="009D6B5C">
        <w:t xml:space="preserve"> in Sierra Leone and Cote d'Ivoire were from the UN</w:t>
      </w:r>
      <w:r>
        <w:t>, not European-led missions</w:t>
      </w:r>
      <w:r w:rsidRPr="009D6B5C">
        <w:t xml:space="preserve">. </w:t>
      </w:r>
      <w:r>
        <w:t xml:space="preserve"> (3) </w:t>
      </w:r>
      <w:r w:rsidRPr="009D6B5C">
        <w:t>In the DRC, the EU deployed a small police contingent</w:t>
      </w:r>
      <w:r>
        <w:t xml:space="preserve"> of a couple dozen personnel</w:t>
      </w:r>
      <w:r w:rsidRPr="009D6B5C">
        <w:t xml:space="preserve"> alongside the much larger UN one</w:t>
      </w:r>
      <w:r>
        <w:t>; the UN police presence in DRC peaked in 2013</w:t>
      </w:r>
      <w:r w:rsidRPr="009D6B5C">
        <w:t xml:space="preserve">. </w:t>
      </w:r>
      <w:r>
        <w:t xml:space="preserve"> (4) </w:t>
      </w:r>
      <w:r w:rsidRPr="009D6B5C">
        <w:t>In CAR, civilian police deployed under AU's MISCA mission peaked at 880 in 2014, while police deployed under the much larger</w:t>
      </w:r>
      <w:r>
        <w:t xml:space="preserve"> follow-on</w:t>
      </w:r>
      <w:r w:rsidRPr="009D6B5C">
        <w:t xml:space="preserve"> UN mission (MINUSCA) peaked at about 1</w:t>
      </w:r>
      <w:r>
        <w:t>,</w:t>
      </w:r>
      <w:r w:rsidRPr="009D6B5C">
        <w:t xml:space="preserve">700 in 2017. </w:t>
      </w:r>
      <w:r>
        <w:t xml:space="preserve"> (5) </w:t>
      </w:r>
      <w:r w:rsidRPr="009D6B5C">
        <w:t>In Darfur, civilian police deployed under AU's AMIS mission peaked at 1,456 in 2006, while police deployed under the much larger</w:t>
      </w:r>
      <w:r>
        <w:t xml:space="preserve"> follow-on</w:t>
      </w:r>
      <w:r w:rsidRPr="009D6B5C">
        <w:t xml:space="preserve"> UN/AU hybrid mission (UNAMID) peaked at abo</w:t>
      </w:r>
      <w:r>
        <w:t>ut 5,228</w:t>
      </w:r>
      <w:r w:rsidRPr="009D6B5C">
        <w:t xml:space="preserve"> in 2011. </w:t>
      </w:r>
      <w:r>
        <w:t xml:space="preserve">(6) </w:t>
      </w:r>
      <w:r w:rsidRPr="009D6B5C">
        <w:t>No civilian police were deployed to Burundi under the AU's AMIB mission; subsequently 97 policed deployed und</w:t>
      </w:r>
      <w:r>
        <w:t xml:space="preserve">er the UN's ONUB mission in 2005.  (7) In the Lake Chad Basin, no police are deployed as part of MNJTF. </w:t>
      </w:r>
    </w:p>
    <w:p w14:paraId="7B335FDC" w14:textId="77777777" w:rsidR="003538E6" w:rsidRDefault="003538E6" w:rsidP="003538E6">
      <w:pPr>
        <w:pStyle w:val="FigureNote"/>
      </w:pPr>
      <w:bookmarkStart w:id="20" w:name="OLE_LINK3"/>
      <w:r>
        <w:t xml:space="preserve">SOURCES: RAND, MG-722 (2008); </w:t>
      </w:r>
      <w:r w:rsidRPr="009D6B5C">
        <w:t>Center on International Cooperation, “Annual Review of Global Peace Operations, 2008” (Center on I</w:t>
      </w:r>
      <w:r>
        <w:t>nternational Cooperation, 2008);</w:t>
      </w:r>
      <w:r w:rsidRPr="009D6B5C">
        <w:t xml:space="preserve"> IPI Peacekeeping Database</w:t>
      </w:r>
      <w:r>
        <w:t>, Providing for Peacekeeping; summary tables in chapters above.</w:t>
      </w:r>
    </w:p>
    <w:bookmarkEnd w:id="20"/>
    <w:p w14:paraId="7CF18323" w14:textId="77777777" w:rsidR="003538E6" w:rsidRDefault="003538E6" w:rsidP="003538E6">
      <w:r>
        <w:br w:type="page"/>
      </w:r>
    </w:p>
    <w:p w14:paraId="5840DE9C" w14:textId="00FC025A" w:rsidR="003538E6" w:rsidRPr="00470534" w:rsidRDefault="003538E6" w:rsidP="003538E6">
      <w:pPr>
        <w:pStyle w:val="Heading7"/>
      </w:pPr>
      <w:bookmarkStart w:id="21" w:name="_Toc3301000"/>
      <w:r>
        <w:lastRenderedPageBreak/>
        <w:t>Peak Civilian Police Presence (Number of Police Deployed per 1,000 Inhabitants)</w:t>
      </w:r>
      <w:bookmarkEnd w:id="21"/>
    </w:p>
    <w:p w14:paraId="4BA8DB1E" w14:textId="77777777" w:rsidR="003538E6" w:rsidRPr="00FE4266" w:rsidRDefault="003538E6" w:rsidP="003538E6">
      <w:pPr>
        <w:pStyle w:val="FigurePlacement"/>
      </w:pPr>
      <w:r w:rsidRPr="00212290">
        <w:rPr>
          <w:rFonts w:asciiTheme="majorHAnsi" w:hAnsiTheme="majorHAnsi" w:cstheme="majorHAnsi"/>
          <w:noProof/>
          <w:color w:val="000000" w:themeColor="text1"/>
          <w:lang w:val="en-ZA" w:eastAsia="en-ZA"/>
        </w:rPr>
        <w:drawing>
          <wp:inline distT="0" distB="0" distL="0" distR="0" wp14:anchorId="3096226C" wp14:editId="0AB367F3">
            <wp:extent cx="5943600" cy="4191000"/>
            <wp:effectExtent l="0" t="0" r="0" b="0"/>
            <wp:docPr id="7" name="Chart 7">
              <a:extLst xmlns:a="http://schemas.openxmlformats.org/drawingml/2006/main">
                <a:ext uri="{FF2B5EF4-FFF2-40B4-BE49-F238E27FC236}">
                  <a16:creationId xmlns:a16="http://schemas.microsoft.com/office/drawing/2014/main" id="{B849CF8C-61BA-6A46-8080-886F5D43B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EADC93" w14:textId="77777777" w:rsidR="003538E6" w:rsidRDefault="003538E6" w:rsidP="003538E6">
      <w:pPr>
        <w:pStyle w:val="FigureNote"/>
      </w:pPr>
      <w:r>
        <w:t>NOTES: See note in Figure 8.3 regarding missions involving contiguous and overlapping national and international contingents.</w:t>
      </w:r>
    </w:p>
    <w:p w14:paraId="781CC299" w14:textId="77777777" w:rsidR="003538E6" w:rsidRDefault="003538E6" w:rsidP="003538E6">
      <w:pPr>
        <w:pStyle w:val="FigureNote"/>
      </w:pPr>
      <w:r>
        <w:t xml:space="preserve">SOURCES: RAND, MG-722 (2008); </w:t>
      </w:r>
      <w:r w:rsidRPr="009D6B5C">
        <w:t>Center on International Cooperation, “Annual Review of Global Peace Operations, 2008” (Center on I</w:t>
      </w:r>
      <w:r>
        <w:t>nternational Cooperation, 2008);</w:t>
      </w:r>
      <w:r w:rsidRPr="009D6B5C">
        <w:t xml:space="preserve"> IPI Peacekeeping Database</w:t>
      </w:r>
      <w:r>
        <w:t>, Providing for Peacekeeping; summary tables in chapters above.</w:t>
      </w:r>
    </w:p>
    <w:p w14:paraId="02626790" w14:textId="77777777" w:rsidR="003538E6" w:rsidRDefault="003538E6" w:rsidP="003538E6">
      <w:r>
        <w:br w:type="page"/>
      </w:r>
    </w:p>
    <w:p w14:paraId="142BBC15" w14:textId="0D0EDE4C" w:rsidR="003538E6" w:rsidRDefault="003538E6" w:rsidP="003538E6">
      <w:pPr>
        <w:pStyle w:val="Heading7"/>
      </w:pPr>
      <w:bookmarkStart w:id="22" w:name="_Toc517796895"/>
      <w:bookmarkStart w:id="23" w:name="_Toc519899698"/>
      <w:bookmarkStart w:id="24" w:name="_Toc3301001"/>
      <w:r>
        <w:lastRenderedPageBreak/>
        <w:t>Peak Police-to-Military Ratio (Number of Police Deployed per 1,000 Troops)</w:t>
      </w:r>
      <w:bookmarkEnd w:id="22"/>
      <w:bookmarkEnd w:id="23"/>
      <w:bookmarkEnd w:id="24"/>
      <w:r>
        <w:t xml:space="preserve"> </w:t>
      </w:r>
    </w:p>
    <w:p w14:paraId="6CDB3105" w14:textId="77777777" w:rsidR="003538E6" w:rsidRDefault="003538E6" w:rsidP="003538E6">
      <w:pPr>
        <w:pStyle w:val="FigurePlacement"/>
      </w:pPr>
      <w:r>
        <w:rPr>
          <w:noProof/>
          <w:lang w:val="en-ZA" w:eastAsia="en-ZA"/>
        </w:rPr>
        <w:drawing>
          <wp:inline distT="0" distB="0" distL="0" distR="0" wp14:anchorId="1FA7792C" wp14:editId="76E040AF">
            <wp:extent cx="5943600" cy="3856990"/>
            <wp:effectExtent l="0" t="0" r="12700" b="16510"/>
            <wp:docPr id="8" name="Chart 8">
              <a:extLst xmlns:a="http://schemas.openxmlformats.org/drawingml/2006/main">
                <a:ext uri="{FF2B5EF4-FFF2-40B4-BE49-F238E27FC236}">
                  <a16:creationId xmlns:a16="http://schemas.microsoft.com/office/drawing/2014/main" id="{233A6FB0-87A1-E949-A2EC-C656270FF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F470EC" w14:textId="77777777" w:rsidR="003538E6" w:rsidRDefault="003538E6" w:rsidP="003538E6">
      <w:pPr>
        <w:pStyle w:val="FigureNote"/>
      </w:pPr>
      <w:r w:rsidRPr="00FD352F">
        <w:t>NOTES:</w:t>
      </w:r>
      <w:r>
        <w:t xml:space="preserve"> For Sierra Leone, the ratio is based on peak total of UN and UK troops deployed in 2002 versus the peak of UN police deployed in 2004.  For Cote d’Ivoire, the ratio is based on peak total of UN and French troops deployed in 2007 versus the peak of UN police deployed in 2013.  For DRC, the ratio is based on the peak of UN troops deployed in 2014 versus the peak of UN police deployed in 2013.  For Burundi, the ratio is based on the peak of UN troops deployed in 2005 versus the peak of UN police deployed in 2005.  For CAR, the ratio is based on the peak of UN troops deployed in 2016 versus the peak of UN police deployed in 2016.  For Darfur, the ratio is based on the peak of UN/AU hybrid troops deployed in 2012 versus the peak of UN/AU hybrid police deployed in 2011.  </w:t>
      </w:r>
    </w:p>
    <w:p w14:paraId="4F9CDAFC" w14:textId="77777777" w:rsidR="003538E6" w:rsidRDefault="003538E6" w:rsidP="003538E6">
      <w:pPr>
        <w:pStyle w:val="FigureNote"/>
      </w:pPr>
      <w:r>
        <w:t xml:space="preserve">SOURCES: RAND, MG-722 (2008); </w:t>
      </w:r>
      <w:r w:rsidRPr="009D6B5C">
        <w:t>Center on International Cooperation, “Annual Review of Global Peace Operations, 2008” (Center on I</w:t>
      </w:r>
      <w:r>
        <w:t>nternational Cooperation, 2008);</w:t>
      </w:r>
      <w:r w:rsidRPr="009D6B5C">
        <w:t xml:space="preserve"> IPI Peacekeeping Database</w:t>
      </w:r>
      <w:r>
        <w:t>, Providing for Peacekeeping; summary tables in chapters above.</w:t>
      </w:r>
    </w:p>
    <w:p w14:paraId="4F89D9CD" w14:textId="77777777" w:rsidR="003538E6" w:rsidRDefault="003538E6" w:rsidP="003538E6">
      <w:r>
        <w:br w:type="page"/>
      </w:r>
    </w:p>
    <w:p w14:paraId="767568A8" w14:textId="0278C11E" w:rsidR="003538E6" w:rsidRDefault="003538E6" w:rsidP="003538E6">
      <w:pPr>
        <w:pStyle w:val="Heading7"/>
        <w:rPr>
          <w:color w:val="FF0000"/>
        </w:rPr>
      </w:pPr>
      <w:bookmarkStart w:id="25" w:name="_Toc519899699"/>
      <w:bookmarkStart w:id="26" w:name="_Toc3301002"/>
      <w:r>
        <w:lastRenderedPageBreak/>
        <w:t>Duration of Operations (Years</w:t>
      </w:r>
      <w:bookmarkEnd w:id="25"/>
      <w:r>
        <w:t>)</w:t>
      </w:r>
      <w:bookmarkEnd w:id="26"/>
    </w:p>
    <w:p w14:paraId="113CF769" w14:textId="77777777" w:rsidR="003538E6" w:rsidRPr="0043195A" w:rsidRDefault="003538E6" w:rsidP="003538E6">
      <w:pPr>
        <w:pStyle w:val="FigurePlacement"/>
      </w:pPr>
      <w:r>
        <w:rPr>
          <w:noProof/>
          <w:lang w:val="en-ZA" w:eastAsia="en-ZA"/>
        </w:rPr>
        <w:drawing>
          <wp:inline distT="0" distB="0" distL="0" distR="0" wp14:anchorId="141E6027" wp14:editId="6C5B8544">
            <wp:extent cx="5943600" cy="3750945"/>
            <wp:effectExtent l="0" t="0" r="0" b="0"/>
            <wp:docPr id="42" name="Chart 42">
              <a:extLst xmlns:a="http://schemas.openxmlformats.org/drawingml/2006/main">
                <a:ext uri="{FF2B5EF4-FFF2-40B4-BE49-F238E27FC236}">
                  <a16:creationId xmlns:a16="http://schemas.microsoft.com/office/drawing/2014/main" id="{640F0C31-5442-0949-8E8C-011D74BDE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EC2CB7" w14:textId="77777777" w:rsidR="003538E6" w:rsidRDefault="003538E6" w:rsidP="003538E6">
      <w:pPr>
        <w:pStyle w:val="FigureNote"/>
      </w:pPr>
      <w:r w:rsidRPr="0084715D">
        <w:rPr>
          <w:bCs/>
          <w:szCs w:val="18"/>
        </w:rPr>
        <w:t>Note</w:t>
      </w:r>
      <w:r>
        <w:rPr>
          <w:bCs/>
          <w:szCs w:val="18"/>
        </w:rPr>
        <w:t>s</w:t>
      </w:r>
      <w:r w:rsidRPr="0084715D">
        <w:rPr>
          <w:bCs/>
          <w:szCs w:val="18"/>
        </w:rPr>
        <w:t xml:space="preserve">: </w:t>
      </w:r>
      <w:r>
        <w:rPr>
          <w:bCs/>
          <w:szCs w:val="18"/>
        </w:rPr>
        <w:t xml:space="preserve">(1) </w:t>
      </w:r>
      <w:r>
        <w:t>* Indicates ongoing operation. Duration data are current through mid-2018. (2) Duration data are rounded up to the next whole year integer; for instance, if an operation lasted 4 years and 3 months, it is counted as 5 years.  (3) Duration data only counts major peacekeeping operations; it does not count smaller political and security advisory and training missions.  (4) Several European-led and African-led missions overlapped with or were contiguous with major UN-led peacekeeping missions.  Overlapping missions (Sierra Leone, Cote d’Ivoire, DRC, and CAR) are illustrated as adjacent bars.  Contiguous missions (Bosnia, Burundi, and Darfur) are illustrated as stacked bars.  (5) More specifically, in Sierra Leone, t</w:t>
      </w:r>
      <w:r w:rsidRPr="0084715D">
        <w:t>he UN mission began in July 1998 and ended in December 2005; the UK mission began in May 2000 and was concluded by the end of 2000</w:t>
      </w:r>
      <w:r>
        <w:t>, though a small number of British advisors remained for over a decade</w:t>
      </w:r>
      <w:r w:rsidRPr="0084715D">
        <w:t xml:space="preserve">.  </w:t>
      </w:r>
      <w:r>
        <w:t>In Cote d'Ivoire, t</w:t>
      </w:r>
      <w:r w:rsidRPr="0084715D">
        <w:t xml:space="preserve">he French mission began in September 2002 and concluded in January 2015; the UN </w:t>
      </w:r>
      <w:r>
        <w:t xml:space="preserve">peacekeeping </w:t>
      </w:r>
      <w:r w:rsidRPr="0084715D">
        <w:t>mission began in April 2004, replacing the UN political mission which had been in place before that</w:t>
      </w:r>
      <w:r>
        <w:t>, and concluded in 2017.  In t</w:t>
      </w:r>
      <w:r w:rsidRPr="0084715D">
        <w:t>he</w:t>
      </w:r>
      <w:r>
        <w:t xml:space="preserve"> DRC, the</w:t>
      </w:r>
      <w:r w:rsidRPr="0084715D">
        <w:t xml:space="preserve"> UN mission began in November 1999 and is ongoing; European troops were deployed to the country for two periods: June-September 2003 and July-November 2006.</w:t>
      </w:r>
      <w:r>
        <w:t xml:space="preserve"> In Burundi, two African-led missions were deployed between 2001-2004; they were succeeded by a UN peacekeeping mission from June 2004-December 2006.  In CAR, multiple African-led missions deployed between 2002-2014; these have overlapped with an increasingly robust UN peacekeeping presence. However, data from these missions is likely to be of lower reliability than the other nation-building missions.</w:t>
      </w:r>
    </w:p>
    <w:p w14:paraId="017C63D1" w14:textId="02B9CCD7" w:rsidR="003538E6" w:rsidRDefault="003538E6" w:rsidP="003538E6"/>
    <w:sectPr w:rsidR="003538E6" w:rsidSect="0074478D">
      <w:footerReference w:type="default" r:id="rId16"/>
      <w:headerReference w:type="first" r:id="rId17"/>
      <w:footerReference w:type="first" r:id="rId18"/>
      <w:pgSz w:w="12240" w:h="15840" w:code="1"/>
      <w:pgMar w:top="1440" w:right="1440" w:bottom="864" w:left="1584"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8DD3F" w14:textId="77777777" w:rsidR="00FD3C51" w:rsidRDefault="00FD3C51" w:rsidP="00E93215">
      <w:r>
        <w:separator/>
      </w:r>
    </w:p>
  </w:endnote>
  <w:endnote w:type="continuationSeparator" w:id="0">
    <w:p w14:paraId="61980E1A" w14:textId="77777777" w:rsidR="00FD3C51" w:rsidRDefault="00FD3C51" w:rsidP="00E9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Helvetica-ExtraCompressed">
    <w:panose1 w:val="00000000000000000000"/>
    <w:charset w:val="4D"/>
    <w:family w:val="auto"/>
    <w:notTrueType/>
    <w:pitch w:val="default"/>
    <w:sig w:usb0="00000003" w:usb1="00000000" w:usb2="00000000" w:usb3="00000000" w:csb0="00000001" w:csb1="00000000"/>
  </w:font>
  <w:font w:name="FuturaStd-Heavy">
    <w:altName w:val="Century Gothic"/>
    <w:panose1 w:val="00000000000000000000"/>
    <w:charset w:val="00"/>
    <w:family w:val="swiss"/>
    <w:notTrueType/>
    <w:pitch w:val="variable"/>
    <w:sig w:usb0="800000AF" w:usb1="4000204A" w:usb2="00000000" w:usb3="00000000" w:csb0="00000001" w:csb1="00000000"/>
  </w:font>
  <w:font w:name="FuturaStd-Medium">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Heavy">
    <w:altName w:val="Arial"/>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39916"/>
      <w:docPartObj>
        <w:docPartGallery w:val="Page Numbers (Bottom of Page)"/>
        <w:docPartUnique/>
      </w:docPartObj>
    </w:sdtPr>
    <w:sdtEndPr>
      <w:rPr>
        <w:noProof/>
      </w:rPr>
    </w:sdtEndPr>
    <w:sdtContent>
      <w:p w14:paraId="677BA51E" w14:textId="27D6048C" w:rsidR="00195090" w:rsidRDefault="001950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FF91D" w14:textId="275909AF" w:rsidR="00E93215" w:rsidRDefault="00E93215" w:rsidP="00E93215">
    <w:pPr>
      <w:tabs>
        <w:tab w:val="left" w:pos="6000"/>
      </w:tabs>
      <w:spacing w:before="240" w:after="0"/>
      <w:ind w:right="-115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DBA5" w14:textId="77777777" w:rsidR="00E93215" w:rsidRPr="00415C7F" w:rsidRDefault="005F3C19" w:rsidP="00E93215">
    <w:pPr>
      <w:tabs>
        <w:tab w:val="left" w:pos="6000"/>
      </w:tabs>
      <w:spacing w:before="240" w:after="100"/>
      <w:ind w:right="-1253"/>
      <w:rPr>
        <w:color w:val="663398"/>
      </w:rPr>
    </w:pPr>
    <w:r>
      <w:rPr>
        <w:rFonts w:cs="FuturaStd-Medium"/>
        <w:noProof/>
        <w:color w:val="000000"/>
        <w:spacing w:val="1"/>
        <w:sz w:val="11"/>
        <w:szCs w:val="11"/>
      </w:rPr>
      <mc:AlternateContent>
        <mc:Choice Requires="wps">
          <w:drawing>
            <wp:anchor distT="0" distB="0" distL="114300" distR="114300" simplePos="0" relativeHeight="251659264" behindDoc="0" locked="0" layoutInCell="1" allowOverlap="1" wp14:anchorId="031D6626" wp14:editId="19E480B2">
              <wp:simplePos x="0" y="0"/>
              <wp:positionH relativeFrom="page">
                <wp:posOffset>-7062</wp:posOffset>
              </wp:positionH>
              <wp:positionV relativeFrom="paragraph">
                <wp:posOffset>-4150360</wp:posOffset>
              </wp:positionV>
              <wp:extent cx="1181100" cy="4686300"/>
              <wp:effectExtent l="0" t="0" r="0" b="0"/>
              <wp:wrapThrough wrapText="bothSides">
                <wp:wrapPolygon edited="0">
                  <wp:start x="0" y="0"/>
                  <wp:lineTo x="0" y="21541"/>
                  <wp:lineTo x="21368" y="21541"/>
                  <wp:lineTo x="2136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863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29EBAE" w14:textId="77777777" w:rsidR="005F3C19" w:rsidRDefault="005F3C19" w:rsidP="005F3C19">
                          <w:pPr>
                            <w:pStyle w:val="6-RANDRESEARCHAREAStitles"/>
                            <w:spacing w:after="60"/>
                            <w:rPr>
                              <w:color w:val="663398"/>
                              <w:sz w:val="12"/>
                              <w:szCs w:val="12"/>
                            </w:rPr>
                          </w:pPr>
                        </w:p>
                        <w:p w14:paraId="594359D6" w14:textId="77777777" w:rsidR="005F3C19" w:rsidRDefault="005F3C19" w:rsidP="005F3C19">
                          <w:pPr>
                            <w:pStyle w:val="6-RANDRESEARCHAREAStitles"/>
                            <w:spacing w:after="60"/>
                            <w:rPr>
                              <w:color w:val="663398"/>
                              <w:sz w:val="12"/>
                              <w:szCs w:val="12"/>
                            </w:rPr>
                          </w:pPr>
                        </w:p>
                        <w:p w14:paraId="07DA48AD" w14:textId="77777777" w:rsidR="005F3C19" w:rsidRDefault="005F3C19" w:rsidP="005F3C19">
                          <w:pPr>
                            <w:pStyle w:val="6-RANDRESEARCHAREAStitles"/>
                            <w:spacing w:after="60"/>
                            <w:rPr>
                              <w:color w:val="663398"/>
                              <w:sz w:val="12"/>
                              <w:szCs w:val="12"/>
                            </w:rPr>
                          </w:pPr>
                        </w:p>
                        <w:p w14:paraId="5C22D7D5" w14:textId="77777777" w:rsidR="005F3C19" w:rsidRPr="00DD4184" w:rsidRDefault="005F3C19" w:rsidP="005F3C19">
                          <w:pPr>
                            <w:widowControl w:val="0"/>
                            <w:suppressAutoHyphens/>
                            <w:autoSpaceDE w:val="0"/>
                            <w:autoSpaceDN w:val="0"/>
                            <w:adjustRightInd w:val="0"/>
                            <w:spacing w:after="60" w:line="120" w:lineRule="atLeast"/>
                            <w:jc w:val="right"/>
                            <w:textAlignment w:val="center"/>
                            <w:rPr>
                              <w:rFonts w:ascii="Futura Std Heavy" w:eastAsia="Calibri" w:hAnsi="Futura Std Heavy" w:cs="FuturaStd-Heavy"/>
                              <w:b/>
                              <w:caps/>
                              <w:color w:val="663398"/>
                              <w:spacing w:val="1"/>
                              <w:sz w:val="12"/>
                              <w:szCs w:val="12"/>
                            </w:rPr>
                          </w:pPr>
                          <w:r w:rsidRPr="00DD4184">
                            <w:rPr>
                              <w:rFonts w:ascii="Futura Std Heavy" w:eastAsia="Calibri" w:hAnsi="Futura Std Heavy" w:cs="FuturaStd-Heavy"/>
                              <w:b/>
                              <w:caps/>
                              <w:color w:val="663398"/>
                              <w:spacing w:val="1"/>
                              <w:sz w:val="12"/>
                              <w:szCs w:val="12"/>
                            </w:rPr>
                            <w:t>research areas</w:t>
                          </w:r>
                        </w:p>
                        <w:p w14:paraId="3FBEEF0E"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Pr>
                              <w:rFonts w:eastAsia="Calibri" w:cs="FuturaStd-Medium"/>
                              <w:color w:val="663398"/>
                              <w:sz w:val="12"/>
                              <w:szCs w:val="12"/>
                            </w:rPr>
                            <w:t>Children,</w:t>
                          </w:r>
                          <w:r w:rsidRPr="004B4341">
                            <w:rPr>
                              <w:rFonts w:eastAsia="Calibri" w:cs="FuturaStd-Medium"/>
                              <w:color w:val="663398"/>
                              <w:sz w:val="12"/>
                              <w:szCs w:val="12"/>
                            </w:rPr>
                            <w:t xml:space="preserve"> Families</w:t>
                          </w:r>
                          <w:r>
                            <w:rPr>
                              <w:rFonts w:eastAsia="Calibri" w:cs="FuturaStd-Medium"/>
                              <w:color w:val="663398"/>
                              <w:sz w:val="12"/>
                              <w:szCs w:val="12"/>
                            </w:rPr>
                            <w:t>,</w:t>
                          </w:r>
                          <w:r>
                            <w:rPr>
                              <w:rFonts w:eastAsia="Calibri" w:cs="FuturaStd-Medium"/>
                              <w:color w:val="663398"/>
                              <w:sz w:val="12"/>
                              <w:szCs w:val="12"/>
                            </w:rPr>
                            <w:br/>
                            <w:t>and Communities</w:t>
                          </w:r>
                        </w:p>
                        <w:p w14:paraId="1AE5BC69"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Cyber and Data Sciences</w:t>
                          </w:r>
                        </w:p>
                        <w:p w14:paraId="7A79D731"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Education and Literacy</w:t>
                          </w:r>
                        </w:p>
                        <w:p w14:paraId="2F4164D8"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Energy and Environment</w:t>
                          </w:r>
                        </w:p>
                        <w:p w14:paraId="7AC677A0"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Health, Health Care,</w:t>
                          </w:r>
                          <w:r w:rsidRPr="004B4341">
                            <w:rPr>
                              <w:rFonts w:eastAsia="Calibri" w:cs="FuturaStd-Medium"/>
                              <w:color w:val="663398"/>
                              <w:sz w:val="12"/>
                              <w:szCs w:val="12"/>
                            </w:rPr>
                            <w:br/>
                            <w:t>and Aging</w:t>
                          </w:r>
                        </w:p>
                        <w:p w14:paraId="2AE82811"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Homeland Security</w:t>
                          </w:r>
                          <w:r w:rsidRPr="004B4341">
                            <w:rPr>
                              <w:rFonts w:eastAsia="Calibri" w:cs="FuturaStd-Medium"/>
                              <w:color w:val="663398"/>
                              <w:sz w:val="12"/>
                              <w:szCs w:val="12"/>
                            </w:rPr>
                            <w:br/>
                            <w:t>and Public Safety</w:t>
                          </w:r>
                        </w:p>
                        <w:p w14:paraId="2755E03B"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Infrastructure and Transportation</w:t>
                          </w:r>
                        </w:p>
                        <w:p w14:paraId="2487F8EC"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International Affairs</w:t>
                          </w:r>
                        </w:p>
                        <w:p w14:paraId="0F654623"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Law and Business</w:t>
                          </w:r>
                        </w:p>
                        <w:p w14:paraId="3B405C5F"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National Security</w:t>
                          </w:r>
                          <w:r w:rsidRPr="004B4341">
                            <w:rPr>
                              <w:rFonts w:eastAsia="Calibri" w:cs="FuturaStd-Medium"/>
                              <w:color w:val="663398"/>
                              <w:sz w:val="12"/>
                              <w:szCs w:val="12"/>
                            </w:rPr>
                            <w:br/>
                            <w:t>and Terrorism</w:t>
                          </w:r>
                        </w:p>
                        <w:p w14:paraId="2F247012"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Science and Technology</w:t>
                          </w:r>
                        </w:p>
                        <w:p w14:paraId="23EC27ED"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Workers and the Workplace</w:t>
                          </w:r>
                        </w:p>
                        <w:p w14:paraId="35C46A38" w14:textId="77777777" w:rsidR="005F3C19" w:rsidRDefault="005F3C19" w:rsidP="005F3C19">
                          <w:pPr>
                            <w:pStyle w:val="6-RANDRESEARCHAREAStitles"/>
                            <w:spacing w:after="60"/>
                            <w:rPr>
                              <w:rFonts w:ascii="Futura Std Heavy" w:hAnsi="Futura Std Heavy" w:cs="Futura Std Heavy"/>
                              <w:color w:val="663398"/>
                              <w:sz w:val="12"/>
                              <w:szCs w:val="12"/>
                            </w:rPr>
                          </w:pPr>
                        </w:p>
                        <w:p w14:paraId="4B2BA5E2" w14:textId="77777777" w:rsidR="005F3C19" w:rsidRPr="00DD4184" w:rsidRDefault="005F3C19" w:rsidP="005F3C19">
                          <w:pPr>
                            <w:pStyle w:val="7-RAlistings"/>
                            <w:spacing w:after="60"/>
                            <w:rPr>
                              <w:rFonts w:ascii="Futura Std Heavy" w:hAnsi="Futura Std Heavy" w:cs="Futura Std Heavy"/>
                              <w:b/>
                              <w:caps w:val="0"/>
                              <w:color w:val="663398"/>
                              <w:spacing w:val="1"/>
                              <w:sz w:val="12"/>
                              <w:szCs w:val="12"/>
                            </w:rPr>
                          </w:pPr>
                          <w:r w:rsidRPr="00DD4184">
                            <w:rPr>
                              <w:rFonts w:ascii="Futura Std Heavy" w:hAnsi="Futura Std Heavy" w:cs="Futura Std Heavy"/>
                              <w:b/>
                              <w:caps w:val="0"/>
                              <w:color w:val="663398"/>
                              <w:spacing w:val="1"/>
                              <w:sz w:val="12"/>
                              <w:szCs w:val="12"/>
                            </w:rPr>
                            <w:t>OFFICES</w:t>
                          </w:r>
                        </w:p>
                        <w:p w14:paraId="6487AA23" w14:textId="77777777" w:rsidR="005F3C19" w:rsidRDefault="005F3C19" w:rsidP="005F3C19">
                          <w:pPr>
                            <w:pStyle w:val="7-RAlistings"/>
                            <w:spacing w:after="60"/>
                            <w:rPr>
                              <w:rFonts w:ascii="Futura Std Book" w:hAnsi="Futura Std Book" w:cs="Futura Std Book"/>
                              <w:color w:val="663398"/>
                              <w:sz w:val="12"/>
                              <w:szCs w:val="12"/>
                            </w:rPr>
                          </w:pPr>
                          <w:r>
                            <w:rPr>
                              <w:rFonts w:ascii="Futura Std Book" w:hAnsi="Futura Std Book" w:cs="Futura Std Book"/>
                              <w:caps w:val="0"/>
                              <w:color w:val="663398"/>
                              <w:sz w:val="12"/>
                              <w:szCs w:val="12"/>
                            </w:rPr>
                            <w:t>Santa Monica</w:t>
                          </w:r>
                          <w:r>
                            <w:rPr>
                              <w:rFonts w:ascii="Futura Std Book" w:hAnsi="Futura Std Book" w:cs="Futura Std Book"/>
                              <w:color w:val="663398"/>
                              <w:sz w:val="12"/>
                              <w:szCs w:val="12"/>
                            </w:rPr>
                            <w:t xml:space="preserve">, CA  </w:t>
                          </w:r>
                        </w:p>
                        <w:p w14:paraId="4396F527" w14:textId="77777777" w:rsidR="005F3C19" w:rsidRDefault="005F3C19" w:rsidP="005F3C19">
                          <w:pPr>
                            <w:pStyle w:val="7-RAlistings"/>
                            <w:spacing w:after="60"/>
                            <w:rPr>
                              <w:rFonts w:ascii="Futura Std Book" w:hAnsi="Futura Std Book" w:cs="Futura Std Book"/>
                              <w:color w:val="663398"/>
                              <w:sz w:val="12"/>
                              <w:szCs w:val="12"/>
                            </w:rPr>
                          </w:pPr>
                          <w:r>
                            <w:rPr>
                              <w:rFonts w:ascii="Futura Std Book" w:hAnsi="Futura Std Book" w:cs="Futura Std Book"/>
                              <w:caps w:val="0"/>
                              <w:color w:val="663398"/>
                              <w:sz w:val="12"/>
                              <w:szCs w:val="12"/>
                            </w:rPr>
                            <w:t xml:space="preserve">Washington, DC  </w:t>
                          </w:r>
                        </w:p>
                        <w:p w14:paraId="1147BD5A" w14:textId="77777777" w:rsidR="005F3C19" w:rsidRDefault="005F3C19" w:rsidP="005F3C19">
                          <w:pPr>
                            <w:pStyle w:val="7-RAlistings"/>
                            <w:spacing w:after="60"/>
                            <w:rPr>
                              <w:rFonts w:ascii="Futura Std Book" w:hAnsi="Futura Std Book" w:cs="Futura Std Book"/>
                              <w:color w:val="663398"/>
                              <w:sz w:val="12"/>
                              <w:szCs w:val="12"/>
                            </w:rPr>
                          </w:pPr>
                          <w:r>
                            <w:rPr>
                              <w:rFonts w:ascii="Futura Std Book" w:hAnsi="Futura Std Book" w:cs="Futura Std Book"/>
                              <w:caps w:val="0"/>
                              <w:color w:val="663398"/>
                              <w:sz w:val="12"/>
                              <w:szCs w:val="12"/>
                            </w:rPr>
                            <w:t>Pittsburgh, PA</w:t>
                          </w:r>
                        </w:p>
                        <w:p w14:paraId="0837D38E" w14:textId="77777777" w:rsidR="005F3C19" w:rsidRDefault="005F3C19" w:rsidP="005F3C19">
                          <w:pPr>
                            <w:pStyle w:val="7-RAlistings"/>
                            <w:spacing w:after="60"/>
                            <w:rPr>
                              <w:rFonts w:ascii="Futura Std Book" w:hAnsi="Futura Std Book" w:cs="Futura Std Book"/>
                              <w:color w:val="663398"/>
                              <w:sz w:val="12"/>
                              <w:szCs w:val="12"/>
                            </w:rPr>
                          </w:pPr>
                          <w:r>
                            <w:rPr>
                              <w:rFonts w:ascii="Futura Std Book" w:hAnsi="Futura Std Book" w:cs="Futura Std Book"/>
                              <w:caps w:val="0"/>
                              <w:color w:val="663398"/>
                              <w:sz w:val="12"/>
                              <w:szCs w:val="12"/>
                            </w:rPr>
                            <w:t>New Orleans, LA</w:t>
                          </w:r>
                        </w:p>
                        <w:p w14:paraId="60BBA85B" w14:textId="77777777" w:rsidR="005F3C19" w:rsidRDefault="005F3C19" w:rsidP="005F3C19">
                          <w:pPr>
                            <w:pStyle w:val="7-RAlistings"/>
                            <w:spacing w:after="60"/>
                            <w:rPr>
                              <w:rFonts w:ascii="Futura Std Book" w:hAnsi="Futura Std Book" w:cs="Futura Std Book"/>
                              <w:caps w:val="0"/>
                              <w:color w:val="663398"/>
                              <w:sz w:val="12"/>
                              <w:szCs w:val="12"/>
                            </w:rPr>
                          </w:pPr>
                          <w:r>
                            <w:rPr>
                              <w:rFonts w:ascii="Futura Std Book" w:hAnsi="Futura Std Book" w:cs="Futura Std Book"/>
                              <w:caps w:val="0"/>
                              <w:color w:val="663398"/>
                              <w:sz w:val="12"/>
                              <w:szCs w:val="12"/>
                            </w:rPr>
                            <w:t>Boston, MA</w:t>
                          </w:r>
                        </w:p>
                        <w:p w14:paraId="1A3686A0" w14:textId="77777777" w:rsidR="005F3C19" w:rsidRPr="00CC1598" w:rsidRDefault="005F3C19" w:rsidP="005F3C19">
                          <w:pPr>
                            <w:pStyle w:val="7-RAlistings"/>
                            <w:spacing w:after="140"/>
                            <w:rPr>
                              <w:rFonts w:ascii="Futura Std Book" w:hAnsi="Futura Std Book" w:cs="Futura Std Book"/>
                              <w:caps w:val="0"/>
                              <w:color w:val="663398"/>
                              <w:sz w:val="12"/>
                              <w:szCs w:val="12"/>
                            </w:rPr>
                          </w:pPr>
                          <w:r>
                            <w:rPr>
                              <w:rFonts w:ascii="Futura Std Book" w:hAnsi="Futura Std Book" w:cs="Futura Std Book"/>
                              <w:caps w:val="0"/>
                              <w:color w:val="663398"/>
                              <w:sz w:val="12"/>
                              <w:szCs w:val="12"/>
                            </w:rPr>
                            <w:t>San Francisco, CA</w:t>
                          </w:r>
                        </w:p>
                        <w:p w14:paraId="38D75A41" w14:textId="77777777" w:rsidR="005F3C19" w:rsidRDefault="005F3C19" w:rsidP="005F3C19">
                          <w:pPr>
                            <w:pStyle w:val="NoParagraphStyle"/>
                            <w:spacing w:after="60"/>
                            <w:jc w:val="right"/>
                            <w:rPr>
                              <w:rFonts w:ascii="Futura Std Book" w:hAnsi="Futura Std Book" w:cs="Futura Std Medium"/>
                              <w:caps/>
                              <w:color w:val="663398"/>
                              <w:spacing w:val="1"/>
                              <w:sz w:val="12"/>
                              <w:szCs w:val="12"/>
                            </w:rPr>
                          </w:pPr>
                          <w:r>
                            <w:rPr>
                              <w:rFonts w:ascii="Futura Std Book" w:hAnsi="Futura Std Book" w:cs="Futura Std Medium"/>
                              <w:color w:val="663398"/>
                              <w:spacing w:val="1"/>
                              <w:sz w:val="12"/>
                              <w:szCs w:val="12"/>
                            </w:rPr>
                            <w:t>Cambridge</w:t>
                          </w:r>
                          <w:r>
                            <w:rPr>
                              <w:rFonts w:ascii="Futura Std Book" w:hAnsi="Futura Std Book" w:cs="Futura Std Medium"/>
                              <w:caps/>
                              <w:color w:val="663398"/>
                              <w:spacing w:val="1"/>
                              <w:sz w:val="12"/>
                              <w:szCs w:val="12"/>
                            </w:rPr>
                            <w:t>, UK</w:t>
                          </w:r>
                        </w:p>
                        <w:p w14:paraId="38AE36F2" w14:textId="77777777" w:rsidR="005F3C19" w:rsidRDefault="005F3C19" w:rsidP="005F3C19">
                          <w:pPr>
                            <w:pStyle w:val="NoParagraphStyle"/>
                            <w:spacing w:after="140"/>
                            <w:jc w:val="right"/>
                            <w:rPr>
                              <w:rFonts w:ascii="Futura Std Book" w:hAnsi="Futura Std Book" w:cs="Futura Std Medium"/>
                              <w:caps/>
                              <w:color w:val="663398"/>
                              <w:spacing w:val="1"/>
                              <w:sz w:val="12"/>
                              <w:szCs w:val="12"/>
                            </w:rPr>
                          </w:pPr>
                          <w:proofErr w:type="gramStart"/>
                          <w:r>
                            <w:rPr>
                              <w:rFonts w:ascii="Futura Std Book" w:hAnsi="Futura Std Book" w:cs="Futura Std Medium"/>
                              <w:color w:val="663398"/>
                              <w:spacing w:val="1"/>
                              <w:sz w:val="12"/>
                              <w:szCs w:val="12"/>
                            </w:rPr>
                            <w:t>Brussels</w:t>
                          </w:r>
                          <w:r>
                            <w:rPr>
                              <w:rFonts w:ascii="Futura Std Book" w:hAnsi="Futura Std Book" w:cs="Futura Std Medium"/>
                              <w:caps/>
                              <w:color w:val="663398"/>
                              <w:spacing w:val="1"/>
                              <w:sz w:val="12"/>
                              <w:szCs w:val="12"/>
                            </w:rPr>
                            <w:t>,</w:t>
                          </w:r>
                          <w:proofErr w:type="gramEnd"/>
                          <w:r>
                            <w:rPr>
                              <w:rFonts w:ascii="Futura Std Book" w:hAnsi="Futura Std Book" w:cs="Futura Std Medium"/>
                              <w:caps/>
                              <w:color w:val="663398"/>
                              <w:spacing w:val="1"/>
                              <w:sz w:val="12"/>
                              <w:szCs w:val="12"/>
                            </w:rPr>
                            <w:t xml:space="preserve"> BE</w:t>
                          </w:r>
                        </w:p>
                        <w:p w14:paraId="0E7EB8C2" w14:textId="77777777" w:rsidR="005F3C19" w:rsidRDefault="005F3C19" w:rsidP="005F3C19">
                          <w:pPr>
                            <w:pStyle w:val="NoParagraphStyle"/>
                            <w:spacing w:after="60"/>
                            <w:jc w:val="right"/>
                            <w:rPr>
                              <w:rFonts w:ascii="Futura Std Book" w:hAnsi="Futura Std Book" w:cs="Futura Std Medium"/>
                              <w:caps/>
                              <w:color w:val="663398"/>
                              <w:spacing w:val="1"/>
                              <w:sz w:val="12"/>
                              <w:szCs w:val="12"/>
                            </w:rPr>
                          </w:pPr>
                          <w:r>
                            <w:rPr>
                              <w:rFonts w:ascii="Futura Std Book" w:hAnsi="Futura Std Book" w:cs="Futura Std Medium"/>
                              <w:color w:val="663398"/>
                              <w:spacing w:val="1"/>
                              <w:sz w:val="12"/>
                              <w:szCs w:val="12"/>
                            </w:rPr>
                            <w:t>Canberra, AU</w:t>
                          </w:r>
                        </w:p>
                        <w:p w14:paraId="2E82B1F6" w14:textId="77777777" w:rsidR="005F3C19" w:rsidRDefault="005F3C19" w:rsidP="005F3C19">
                          <w:pPr>
                            <w:pStyle w:val="NoParagraphStyle"/>
                            <w:spacing w:after="64"/>
                            <w:jc w:val="right"/>
                            <w:rPr>
                              <w:rFonts w:ascii="Futura Std Book" w:hAnsi="Futura Std Book" w:cs="Futura Std Medium"/>
                              <w:caps/>
                              <w:color w:val="663398"/>
                              <w:sz w:val="9"/>
                              <w:szCs w:val="9"/>
                            </w:rPr>
                          </w:pPr>
                        </w:p>
                        <w:p w14:paraId="66F1E8C8" w14:textId="77777777" w:rsidR="005F3C19" w:rsidRPr="00035BB6" w:rsidRDefault="005F3C19" w:rsidP="005F3C19">
                          <w:pPr>
                            <w:pStyle w:val="7-RAlistings"/>
                            <w:spacing w:after="60"/>
                            <w:rPr>
                              <w:rFonts w:ascii="Futura Std Book" w:hAnsi="Futura Std Book"/>
                              <w:color w:val="663398"/>
                              <w:spacing w:val="1"/>
                              <w:sz w:val="12"/>
                            </w:rPr>
                          </w:pPr>
                          <w:r>
                            <w:rPr>
                              <w:rFonts w:ascii="Futura Std Book" w:hAnsi="Futura Std Book" w:cs="Futura Std Medium"/>
                              <w:caps w:val="0"/>
                              <w:color w:val="663398"/>
                              <w:spacing w:val="1"/>
                              <w:sz w:val="14"/>
                              <w:szCs w:val="14"/>
                            </w:rPr>
                            <w:t>www.rand.org</w:t>
                          </w:r>
                        </w:p>
                        <w:p w14:paraId="697C2642" w14:textId="77777777" w:rsidR="005F3C19" w:rsidRPr="00035BB6" w:rsidRDefault="005F3C19" w:rsidP="005F3C19">
                          <w:pPr>
                            <w:pStyle w:val="7-RAlistings"/>
                            <w:spacing w:after="60"/>
                            <w:rPr>
                              <w:rFonts w:ascii="Futura Std Book" w:hAnsi="Futura Std Book"/>
                              <w:color w:val="663398"/>
                              <w:spacing w:val="1"/>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1D6626" id="_x0000_t202" coordsize="21600,21600" o:spt="202" path="m,l,21600r21600,l21600,xe">
              <v:stroke joinstyle="miter"/>
              <v:path gradientshapeok="t" o:connecttype="rect"/>
            </v:shapetype>
            <v:shape id="Text Box 2" o:spid="_x0000_s1026" type="#_x0000_t202" style="position:absolute;margin-left:-.55pt;margin-top:-326.8pt;width:93pt;height:3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" stroked="f">
              <v:textbox>
                <w:txbxContent>
                  <w:p w14:paraId="6E29EBAE" w14:textId="77777777" w:rsidR="005F3C19" w:rsidRDefault="005F3C19" w:rsidP="005F3C19">
                    <w:pPr>
                      <w:pStyle w:val="6-RANDRESEARCHAREAStitles"/>
                      <w:spacing w:after="60"/>
                      <w:rPr>
                        <w:color w:val="663398"/>
                        <w:sz w:val="12"/>
                        <w:szCs w:val="12"/>
                      </w:rPr>
                    </w:pPr>
                  </w:p>
                  <w:p w14:paraId="594359D6" w14:textId="77777777" w:rsidR="005F3C19" w:rsidRDefault="005F3C19" w:rsidP="005F3C19">
                    <w:pPr>
                      <w:pStyle w:val="6-RANDRESEARCHAREAStitles"/>
                      <w:spacing w:after="60"/>
                      <w:rPr>
                        <w:color w:val="663398"/>
                        <w:sz w:val="12"/>
                        <w:szCs w:val="12"/>
                      </w:rPr>
                    </w:pPr>
                  </w:p>
                  <w:p w14:paraId="07DA48AD" w14:textId="77777777" w:rsidR="005F3C19" w:rsidRDefault="005F3C19" w:rsidP="005F3C19">
                    <w:pPr>
                      <w:pStyle w:val="6-RANDRESEARCHAREAStitles"/>
                      <w:spacing w:after="60"/>
                      <w:rPr>
                        <w:color w:val="663398"/>
                        <w:sz w:val="12"/>
                        <w:szCs w:val="12"/>
                      </w:rPr>
                    </w:pPr>
                  </w:p>
                  <w:p w14:paraId="5C22D7D5" w14:textId="77777777" w:rsidR="005F3C19" w:rsidRPr="00DD4184" w:rsidRDefault="005F3C19" w:rsidP="005F3C19">
                    <w:pPr>
                      <w:widowControl w:val="0"/>
                      <w:suppressAutoHyphens/>
                      <w:autoSpaceDE w:val="0"/>
                      <w:autoSpaceDN w:val="0"/>
                      <w:adjustRightInd w:val="0"/>
                      <w:spacing w:after="60" w:line="120" w:lineRule="atLeast"/>
                      <w:jc w:val="right"/>
                      <w:textAlignment w:val="center"/>
                      <w:rPr>
                        <w:rFonts w:ascii="Futura Std Heavy" w:eastAsia="Calibri" w:hAnsi="Futura Std Heavy" w:cs="FuturaStd-Heavy"/>
                        <w:b/>
                        <w:caps/>
                        <w:color w:val="663398"/>
                        <w:spacing w:val="1"/>
                        <w:sz w:val="12"/>
                        <w:szCs w:val="12"/>
                      </w:rPr>
                    </w:pPr>
                    <w:r w:rsidRPr="00DD4184">
                      <w:rPr>
                        <w:rFonts w:ascii="Futura Std Heavy" w:eastAsia="Calibri" w:hAnsi="Futura Std Heavy" w:cs="FuturaStd-Heavy"/>
                        <w:b/>
                        <w:caps/>
                        <w:color w:val="663398"/>
                        <w:spacing w:val="1"/>
                        <w:sz w:val="12"/>
                        <w:szCs w:val="12"/>
                      </w:rPr>
                      <w:t>research areas</w:t>
                    </w:r>
                  </w:p>
                  <w:p w14:paraId="3FBEEF0E"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Pr>
                        <w:rFonts w:eastAsia="Calibri" w:cs="FuturaStd-Medium"/>
                        <w:color w:val="663398"/>
                        <w:sz w:val="12"/>
                        <w:szCs w:val="12"/>
                      </w:rPr>
                      <w:t>Children,</w:t>
                    </w:r>
                    <w:r w:rsidRPr="004B4341">
                      <w:rPr>
                        <w:rFonts w:eastAsia="Calibri" w:cs="FuturaStd-Medium"/>
                        <w:color w:val="663398"/>
                        <w:sz w:val="12"/>
                        <w:szCs w:val="12"/>
                      </w:rPr>
                      <w:t xml:space="preserve"> Families</w:t>
                    </w:r>
                    <w:r>
                      <w:rPr>
                        <w:rFonts w:eastAsia="Calibri" w:cs="FuturaStd-Medium"/>
                        <w:color w:val="663398"/>
                        <w:sz w:val="12"/>
                        <w:szCs w:val="12"/>
                      </w:rPr>
                      <w:t>,</w:t>
                    </w:r>
                    <w:r>
                      <w:rPr>
                        <w:rFonts w:eastAsia="Calibri" w:cs="FuturaStd-Medium"/>
                        <w:color w:val="663398"/>
                        <w:sz w:val="12"/>
                        <w:szCs w:val="12"/>
                      </w:rPr>
                      <w:br/>
                      <w:t>and Communities</w:t>
                    </w:r>
                  </w:p>
                  <w:p w14:paraId="1AE5BC69"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Cyber and Data Sciences</w:t>
                    </w:r>
                  </w:p>
                  <w:p w14:paraId="7A79D731"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Education and Literacy</w:t>
                    </w:r>
                  </w:p>
                  <w:p w14:paraId="2F4164D8"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Energy and Environment</w:t>
                    </w:r>
                  </w:p>
                  <w:p w14:paraId="7AC677A0"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Health, Health Care,</w:t>
                    </w:r>
                    <w:r w:rsidRPr="004B4341">
                      <w:rPr>
                        <w:rFonts w:eastAsia="Calibri" w:cs="FuturaStd-Medium"/>
                        <w:color w:val="663398"/>
                        <w:sz w:val="12"/>
                        <w:szCs w:val="12"/>
                      </w:rPr>
                      <w:br/>
                      <w:t>and Aging</w:t>
                    </w:r>
                  </w:p>
                  <w:p w14:paraId="2AE82811"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Homeland Security</w:t>
                    </w:r>
                    <w:r w:rsidRPr="004B4341">
                      <w:rPr>
                        <w:rFonts w:eastAsia="Calibri" w:cs="FuturaStd-Medium"/>
                        <w:color w:val="663398"/>
                        <w:sz w:val="12"/>
                        <w:szCs w:val="12"/>
                      </w:rPr>
                      <w:br/>
                      <w:t>and Public Safety</w:t>
                    </w:r>
                  </w:p>
                  <w:p w14:paraId="2755E03B"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Infrastructure and Transportation</w:t>
                    </w:r>
                  </w:p>
                  <w:p w14:paraId="2487F8EC"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International Affairs</w:t>
                    </w:r>
                  </w:p>
                  <w:p w14:paraId="0F654623"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Law and Business</w:t>
                    </w:r>
                  </w:p>
                  <w:p w14:paraId="3B405C5F"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National Security</w:t>
                    </w:r>
                    <w:r w:rsidRPr="004B4341">
                      <w:rPr>
                        <w:rFonts w:eastAsia="Calibri" w:cs="FuturaStd-Medium"/>
                        <w:color w:val="663398"/>
                        <w:sz w:val="12"/>
                        <w:szCs w:val="12"/>
                      </w:rPr>
                      <w:br/>
                      <w:t>and Terrorism</w:t>
                    </w:r>
                  </w:p>
                  <w:p w14:paraId="2F247012"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Science and Technology</w:t>
                    </w:r>
                  </w:p>
                  <w:p w14:paraId="23EC27ED" w14:textId="77777777" w:rsidR="005F3C19" w:rsidRPr="004B4341" w:rsidRDefault="005F3C19" w:rsidP="005F3C19">
                    <w:pPr>
                      <w:widowControl w:val="0"/>
                      <w:suppressAutoHyphens/>
                      <w:autoSpaceDE w:val="0"/>
                      <w:autoSpaceDN w:val="0"/>
                      <w:adjustRightInd w:val="0"/>
                      <w:spacing w:after="60" w:line="120" w:lineRule="atLeast"/>
                      <w:jc w:val="right"/>
                      <w:textAlignment w:val="center"/>
                      <w:rPr>
                        <w:rFonts w:eastAsia="Calibri" w:cs="FuturaStd-Medium"/>
                        <w:color w:val="663398"/>
                        <w:sz w:val="12"/>
                        <w:szCs w:val="12"/>
                      </w:rPr>
                    </w:pPr>
                    <w:r w:rsidRPr="004B4341">
                      <w:rPr>
                        <w:rFonts w:eastAsia="Calibri" w:cs="FuturaStd-Medium"/>
                        <w:color w:val="663398"/>
                        <w:sz w:val="12"/>
                        <w:szCs w:val="12"/>
                      </w:rPr>
                      <w:t>Workers and the Workplace</w:t>
                    </w:r>
                  </w:p>
                  <w:p w14:paraId="35C46A38" w14:textId="77777777" w:rsidR="005F3C19" w:rsidRDefault="005F3C19" w:rsidP="005F3C19">
                    <w:pPr>
                      <w:pStyle w:val="6-RANDRESEARCHAREAStitles"/>
                      <w:spacing w:after="60"/>
                      <w:rPr>
                        <w:rFonts w:ascii="Futura Std Heavy" w:hAnsi="Futura Std Heavy" w:cs="Futura Std Heavy"/>
                        <w:color w:val="663398"/>
                        <w:sz w:val="12"/>
                        <w:szCs w:val="12"/>
                      </w:rPr>
                    </w:pPr>
                  </w:p>
                  <w:p w14:paraId="4B2BA5E2" w14:textId="77777777" w:rsidR="005F3C19" w:rsidRPr="00DD4184" w:rsidRDefault="005F3C19" w:rsidP="005F3C19">
                    <w:pPr>
                      <w:pStyle w:val="7-RAlistings"/>
                      <w:spacing w:after="60"/>
                      <w:rPr>
                        <w:rFonts w:ascii="Futura Std Heavy" w:hAnsi="Futura Std Heavy" w:cs="Futura Std Heavy"/>
                        <w:b/>
                        <w:caps w:val="0"/>
                        <w:color w:val="663398"/>
                        <w:spacing w:val="1"/>
                        <w:sz w:val="12"/>
                        <w:szCs w:val="12"/>
                      </w:rPr>
                    </w:pPr>
                    <w:r w:rsidRPr="00DD4184">
                      <w:rPr>
                        <w:rFonts w:ascii="Futura Std Heavy" w:hAnsi="Futura Std Heavy" w:cs="Futura Std Heavy"/>
                        <w:b/>
                        <w:caps w:val="0"/>
                        <w:color w:val="663398"/>
                        <w:spacing w:val="1"/>
                        <w:sz w:val="12"/>
                        <w:szCs w:val="12"/>
                      </w:rPr>
                      <w:t>OFFICES</w:t>
                    </w:r>
                  </w:p>
                  <w:p w14:paraId="6487AA23" w14:textId="77777777" w:rsidR="005F3C19" w:rsidRDefault="005F3C19" w:rsidP="005F3C19">
                    <w:pPr>
                      <w:pStyle w:val="7-RAlistings"/>
                      <w:spacing w:after="60"/>
                      <w:rPr>
                        <w:rFonts w:ascii="Futura Std Book" w:hAnsi="Futura Std Book" w:cs="Futura Std Book"/>
                        <w:color w:val="663398"/>
                        <w:sz w:val="12"/>
                        <w:szCs w:val="12"/>
                      </w:rPr>
                    </w:pPr>
                    <w:r>
                      <w:rPr>
                        <w:rFonts w:ascii="Futura Std Book" w:hAnsi="Futura Std Book" w:cs="Futura Std Book"/>
                        <w:caps w:val="0"/>
                        <w:color w:val="663398"/>
                        <w:sz w:val="12"/>
                        <w:szCs w:val="12"/>
                      </w:rPr>
                      <w:t>Santa Monica</w:t>
                    </w:r>
                    <w:r>
                      <w:rPr>
                        <w:rFonts w:ascii="Futura Std Book" w:hAnsi="Futura Std Book" w:cs="Futura Std Book"/>
                        <w:color w:val="663398"/>
                        <w:sz w:val="12"/>
                        <w:szCs w:val="12"/>
                      </w:rPr>
                      <w:t xml:space="preserve">, CA  </w:t>
                    </w:r>
                  </w:p>
                  <w:p w14:paraId="4396F527" w14:textId="77777777" w:rsidR="005F3C19" w:rsidRDefault="005F3C19" w:rsidP="005F3C19">
                    <w:pPr>
                      <w:pStyle w:val="7-RAlistings"/>
                      <w:spacing w:after="60"/>
                      <w:rPr>
                        <w:rFonts w:ascii="Futura Std Book" w:hAnsi="Futura Std Book" w:cs="Futura Std Book"/>
                        <w:color w:val="663398"/>
                        <w:sz w:val="12"/>
                        <w:szCs w:val="12"/>
                      </w:rPr>
                    </w:pPr>
                    <w:r>
                      <w:rPr>
                        <w:rFonts w:ascii="Futura Std Book" w:hAnsi="Futura Std Book" w:cs="Futura Std Book"/>
                        <w:caps w:val="0"/>
                        <w:color w:val="663398"/>
                        <w:sz w:val="12"/>
                        <w:szCs w:val="12"/>
                      </w:rPr>
                      <w:t xml:space="preserve">Washington, DC  </w:t>
                    </w:r>
                  </w:p>
                  <w:p w14:paraId="1147BD5A" w14:textId="77777777" w:rsidR="005F3C19" w:rsidRDefault="005F3C19" w:rsidP="005F3C19">
                    <w:pPr>
                      <w:pStyle w:val="7-RAlistings"/>
                      <w:spacing w:after="60"/>
                      <w:rPr>
                        <w:rFonts w:ascii="Futura Std Book" w:hAnsi="Futura Std Book" w:cs="Futura Std Book"/>
                        <w:color w:val="663398"/>
                        <w:sz w:val="12"/>
                        <w:szCs w:val="12"/>
                      </w:rPr>
                    </w:pPr>
                    <w:r>
                      <w:rPr>
                        <w:rFonts w:ascii="Futura Std Book" w:hAnsi="Futura Std Book" w:cs="Futura Std Book"/>
                        <w:caps w:val="0"/>
                        <w:color w:val="663398"/>
                        <w:sz w:val="12"/>
                        <w:szCs w:val="12"/>
                      </w:rPr>
                      <w:t>Pittsburgh, PA</w:t>
                    </w:r>
                  </w:p>
                  <w:p w14:paraId="0837D38E" w14:textId="77777777" w:rsidR="005F3C19" w:rsidRDefault="005F3C19" w:rsidP="005F3C19">
                    <w:pPr>
                      <w:pStyle w:val="7-RAlistings"/>
                      <w:spacing w:after="60"/>
                      <w:rPr>
                        <w:rFonts w:ascii="Futura Std Book" w:hAnsi="Futura Std Book" w:cs="Futura Std Book"/>
                        <w:color w:val="663398"/>
                        <w:sz w:val="12"/>
                        <w:szCs w:val="12"/>
                      </w:rPr>
                    </w:pPr>
                    <w:r>
                      <w:rPr>
                        <w:rFonts w:ascii="Futura Std Book" w:hAnsi="Futura Std Book" w:cs="Futura Std Book"/>
                        <w:caps w:val="0"/>
                        <w:color w:val="663398"/>
                        <w:sz w:val="12"/>
                        <w:szCs w:val="12"/>
                      </w:rPr>
                      <w:t>New Orleans, LA</w:t>
                    </w:r>
                  </w:p>
                  <w:p w14:paraId="60BBA85B" w14:textId="77777777" w:rsidR="005F3C19" w:rsidRDefault="005F3C19" w:rsidP="005F3C19">
                    <w:pPr>
                      <w:pStyle w:val="7-RAlistings"/>
                      <w:spacing w:after="60"/>
                      <w:rPr>
                        <w:rFonts w:ascii="Futura Std Book" w:hAnsi="Futura Std Book" w:cs="Futura Std Book"/>
                        <w:caps w:val="0"/>
                        <w:color w:val="663398"/>
                        <w:sz w:val="12"/>
                        <w:szCs w:val="12"/>
                      </w:rPr>
                    </w:pPr>
                    <w:r>
                      <w:rPr>
                        <w:rFonts w:ascii="Futura Std Book" w:hAnsi="Futura Std Book" w:cs="Futura Std Book"/>
                        <w:caps w:val="0"/>
                        <w:color w:val="663398"/>
                        <w:sz w:val="12"/>
                        <w:szCs w:val="12"/>
                      </w:rPr>
                      <w:t>Boston, MA</w:t>
                    </w:r>
                  </w:p>
                  <w:p w14:paraId="1A3686A0" w14:textId="77777777" w:rsidR="005F3C19" w:rsidRPr="00CC1598" w:rsidRDefault="005F3C19" w:rsidP="005F3C19">
                    <w:pPr>
                      <w:pStyle w:val="7-RAlistings"/>
                      <w:spacing w:after="140"/>
                      <w:rPr>
                        <w:rFonts w:ascii="Futura Std Book" w:hAnsi="Futura Std Book" w:cs="Futura Std Book"/>
                        <w:caps w:val="0"/>
                        <w:color w:val="663398"/>
                        <w:sz w:val="12"/>
                        <w:szCs w:val="12"/>
                      </w:rPr>
                    </w:pPr>
                    <w:r>
                      <w:rPr>
                        <w:rFonts w:ascii="Futura Std Book" w:hAnsi="Futura Std Book" w:cs="Futura Std Book"/>
                        <w:caps w:val="0"/>
                        <w:color w:val="663398"/>
                        <w:sz w:val="12"/>
                        <w:szCs w:val="12"/>
                      </w:rPr>
                      <w:t>San Francisco, CA</w:t>
                    </w:r>
                  </w:p>
                  <w:p w14:paraId="38D75A41" w14:textId="77777777" w:rsidR="005F3C19" w:rsidRDefault="005F3C19" w:rsidP="005F3C19">
                    <w:pPr>
                      <w:pStyle w:val="NoParagraphStyle"/>
                      <w:spacing w:after="60"/>
                      <w:jc w:val="right"/>
                      <w:rPr>
                        <w:rFonts w:ascii="Futura Std Book" w:hAnsi="Futura Std Book" w:cs="Futura Std Medium"/>
                        <w:caps/>
                        <w:color w:val="663398"/>
                        <w:spacing w:val="1"/>
                        <w:sz w:val="12"/>
                        <w:szCs w:val="12"/>
                      </w:rPr>
                    </w:pPr>
                    <w:r>
                      <w:rPr>
                        <w:rFonts w:ascii="Futura Std Book" w:hAnsi="Futura Std Book" w:cs="Futura Std Medium"/>
                        <w:color w:val="663398"/>
                        <w:spacing w:val="1"/>
                        <w:sz w:val="12"/>
                        <w:szCs w:val="12"/>
                      </w:rPr>
                      <w:t>Cambridge</w:t>
                    </w:r>
                    <w:r>
                      <w:rPr>
                        <w:rFonts w:ascii="Futura Std Book" w:hAnsi="Futura Std Book" w:cs="Futura Std Medium"/>
                        <w:caps/>
                        <w:color w:val="663398"/>
                        <w:spacing w:val="1"/>
                        <w:sz w:val="12"/>
                        <w:szCs w:val="12"/>
                      </w:rPr>
                      <w:t>, UK</w:t>
                    </w:r>
                  </w:p>
                  <w:p w14:paraId="38AE36F2" w14:textId="77777777" w:rsidR="005F3C19" w:rsidRDefault="005F3C19" w:rsidP="005F3C19">
                    <w:pPr>
                      <w:pStyle w:val="NoParagraphStyle"/>
                      <w:spacing w:after="140"/>
                      <w:jc w:val="right"/>
                      <w:rPr>
                        <w:rFonts w:ascii="Futura Std Book" w:hAnsi="Futura Std Book" w:cs="Futura Std Medium"/>
                        <w:caps/>
                        <w:color w:val="663398"/>
                        <w:spacing w:val="1"/>
                        <w:sz w:val="12"/>
                        <w:szCs w:val="12"/>
                      </w:rPr>
                    </w:pPr>
                    <w:proofErr w:type="gramStart"/>
                    <w:r>
                      <w:rPr>
                        <w:rFonts w:ascii="Futura Std Book" w:hAnsi="Futura Std Book" w:cs="Futura Std Medium"/>
                        <w:color w:val="663398"/>
                        <w:spacing w:val="1"/>
                        <w:sz w:val="12"/>
                        <w:szCs w:val="12"/>
                      </w:rPr>
                      <w:t>Brussels</w:t>
                    </w:r>
                    <w:r>
                      <w:rPr>
                        <w:rFonts w:ascii="Futura Std Book" w:hAnsi="Futura Std Book" w:cs="Futura Std Medium"/>
                        <w:caps/>
                        <w:color w:val="663398"/>
                        <w:spacing w:val="1"/>
                        <w:sz w:val="12"/>
                        <w:szCs w:val="12"/>
                      </w:rPr>
                      <w:t>,</w:t>
                    </w:r>
                    <w:proofErr w:type="gramEnd"/>
                    <w:r>
                      <w:rPr>
                        <w:rFonts w:ascii="Futura Std Book" w:hAnsi="Futura Std Book" w:cs="Futura Std Medium"/>
                        <w:caps/>
                        <w:color w:val="663398"/>
                        <w:spacing w:val="1"/>
                        <w:sz w:val="12"/>
                        <w:szCs w:val="12"/>
                      </w:rPr>
                      <w:t xml:space="preserve"> BE</w:t>
                    </w:r>
                  </w:p>
                  <w:p w14:paraId="0E7EB8C2" w14:textId="77777777" w:rsidR="005F3C19" w:rsidRDefault="005F3C19" w:rsidP="005F3C19">
                    <w:pPr>
                      <w:pStyle w:val="NoParagraphStyle"/>
                      <w:spacing w:after="60"/>
                      <w:jc w:val="right"/>
                      <w:rPr>
                        <w:rFonts w:ascii="Futura Std Book" w:hAnsi="Futura Std Book" w:cs="Futura Std Medium"/>
                        <w:caps/>
                        <w:color w:val="663398"/>
                        <w:spacing w:val="1"/>
                        <w:sz w:val="12"/>
                        <w:szCs w:val="12"/>
                      </w:rPr>
                    </w:pPr>
                    <w:r>
                      <w:rPr>
                        <w:rFonts w:ascii="Futura Std Book" w:hAnsi="Futura Std Book" w:cs="Futura Std Medium"/>
                        <w:color w:val="663398"/>
                        <w:spacing w:val="1"/>
                        <w:sz w:val="12"/>
                        <w:szCs w:val="12"/>
                      </w:rPr>
                      <w:t>Canberra, AU</w:t>
                    </w:r>
                  </w:p>
                  <w:p w14:paraId="2E82B1F6" w14:textId="77777777" w:rsidR="005F3C19" w:rsidRDefault="005F3C19" w:rsidP="005F3C19">
                    <w:pPr>
                      <w:pStyle w:val="NoParagraphStyle"/>
                      <w:spacing w:after="64"/>
                      <w:jc w:val="right"/>
                      <w:rPr>
                        <w:rFonts w:ascii="Futura Std Book" w:hAnsi="Futura Std Book" w:cs="Futura Std Medium"/>
                        <w:caps/>
                        <w:color w:val="663398"/>
                        <w:sz w:val="9"/>
                        <w:szCs w:val="9"/>
                      </w:rPr>
                    </w:pPr>
                  </w:p>
                  <w:p w14:paraId="66F1E8C8" w14:textId="77777777" w:rsidR="005F3C19" w:rsidRPr="00035BB6" w:rsidRDefault="005F3C19" w:rsidP="005F3C19">
                    <w:pPr>
                      <w:pStyle w:val="7-RAlistings"/>
                      <w:spacing w:after="60"/>
                      <w:rPr>
                        <w:rFonts w:ascii="Futura Std Book" w:hAnsi="Futura Std Book"/>
                        <w:color w:val="663398"/>
                        <w:spacing w:val="1"/>
                        <w:sz w:val="12"/>
                      </w:rPr>
                    </w:pPr>
                    <w:r>
                      <w:rPr>
                        <w:rFonts w:ascii="Futura Std Book" w:hAnsi="Futura Std Book" w:cs="Futura Std Medium"/>
                        <w:caps w:val="0"/>
                        <w:color w:val="663398"/>
                        <w:spacing w:val="1"/>
                        <w:sz w:val="14"/>
                        <w:szCs w:val="14"/>
                      </w:rPr>
                      <w:t>www.rand.org</w:t>
                    </w:r>
                  </w:p>
                  <w:p w14:paraId="697C2642" w14:textId="77777777" w:rsidR="005F3C19" w:rsidRPr="00035BB6" w:rsidRDefault="005F3C19" w:rsidP="005F3C19">
                    <w:pPr>
                      <w:pStyle w:val="7-RAlistings"/>
                      <w:spacing w:after="60"/>
                      <w:rPr>
                        <w:rFonts w:ascii="Futura Std Book" w:hAnsi="Futura Std Book"/>
                        <w:color w:val="663398"/>
                        <w:spacing w:val="1"/>
                        <w:sz w:val="12"/>
                      </w:rPr>
                    </w:pPr>
                  </w:p>
                </w:txbxContent>
              </v:textbox>
              <w10:wrap type="through" anchorx="page"/>
            </v:shape>
          </w:pict>
        </mc:Fallback>
      </mc:AlternateContent>
    </w:r>
    <w:r w:rsidR="00E93215">
      <w:tab/>
    </w:r>
    <w:r w:rsidR="00E93215" w:rsidRPr="00415C7F">
      <w:rPr>
        <w:rFonts w:cs="FuturaStd-Medium"/>
        <w:color w:val="663398"/>
        <w:spacing w:val="1"/>
        <w:sz w:val="12"/>
        <w:szCs w:val="12"/>
      </w:rPr>
      <w:t>OBJECTIVE ANALYSIS.  EFFECTIVE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0E5FD" w14:textId="77777777" w:rsidR="00FD3C51" w:rsidRDefault="00FD3C51" w:rsidP="00E93215">
      <w:r>
        <w:separator/>
      </w:r>
    </w:p>
  </w:footnote>
  <w:footnote w:type="continuationSeparator" w:id="0">
    <w:p w14:paraId="3D77E985" w14:textId="77777777" w:rsidR="00FD3C51" w:rsidRDefault="00FD3C51" w:rsidP="00E9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6044" w14:textId="6BFA528E" w:rsidR="00E93215" w:rsidRPr="00415C7F" w:rsidRDefault="00E93215" w:rsidP="00E93215">
    <w:pPr>
      <w:widowControl w:val="0"/>
      <w:tabs>
        <w:tab w:val="left" w:pos="4000"/>
        <w:tab w:val="left" w:pos="6000"/>
        <w:tab w:val="left" w:pos="7680"/>
        <w:tab w:val="left" w:pos="7920"/>
      </w:tabs>
      <w:autoSpaceDE w:val="0"/>
      <w:autoSpaceDN w:val="0"/>
      <w:adjustRightInd w:val="0"/>
      <w:spacing w:after="50" w:line="140" w:lineRule="atLeast"/>
      <w:ind w:left="-1800" w:right="-1066"/>
      <w:textAlignment w:val="center"/>
      <w:rPr>
        <w:rFonts w:cs="FuturaStd-Medium"/>
        <w:caps/>
        <w:color w:val="000000"/>
        <w:spacing w:val="1"/>
        <w:sz w:val="11"/>
        <w:szCs w:val="11"/>
        <w:lang w:bidi="en-US"/>
      </w:rPr>
    </w:pPr>
    <w:r>
      <w:rPr>
        <w:noProof/>
      </w:rPr>
      <w:drawing>
        <wp:anchor distT="0" distB="0" distL="114300" distR="114300" simplePos="0" relativeHeight="251656704" behindDoc="0" locked="0" layoutInCell="1" allowOverlap="1" wp14:anchorId="159EDDE0" wp14:editId="70617E73">
          <wp:simplePos x="0" y="0"/>
          <wp:positionH relativeFrom="column">
            <wp:posOffset>-400050</wp:posOffset>
          </wp:positionH>
          <wp:positionV relativeFrom="paragraph">
            <wp:posOffset>15240</wp:posOffset>
          </wp:positionV>
          <wp:extent cx="603250" cy="609600"/>
          <wp:effectExtent l="0" t="0" r="6350" b="0"/>
          <wp:wrapNone/>
          <wp:docPr id="1" name="Picture 1" descr="cor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415C7F">
      <w:rPr>
        <w:rFonts w:cs="FuturaStd-Medium"/>
        <w:caps/>
        <w:color w:val="000000"/>
        <w:spacing w:val="1"/>
        <w:sz w:val="11"/>
        <w:szCs w:val="11"/>
        <w:lang w:bidi="en-US"/>
      </w:rPr>
      <w:tab/>
    </w:r>
    <w:r w:rsidR="00CA33F8">
      <w:rPr>
        <w:rFonts w:cs="FuturaStd-Medium"/>
        <w:caps/>
        <w:color w:val="000000"/>
        <w:spacing w:val="1"/>
        <w:sz w:val="11"/>
        <w:szCs w:val="11"/>
        <w:lang w:bidi="en-US"/>
      </w:rPr>
      <w:t>1200 s. Hayes street</w:t>
    </w:r>
    <w:r w:rsidRPr="00415C7F">
      <w:rPr>
        <w:rFonts w:cs="FuturaStd-Medium"/>
        <w:caps/>
        <w:color w:val="000000"/>
        <w:spacing w:val="1"/>
        <w:sz w:val="11"/>
        <w:szCs w:val="11"/>
        <w:lang w:bidi="en-US"/>
      </w:rPr>
      <w:tab/>
      <w:t>tel</w:t>
    </w:r>
    <w:r w:rsidRPr="00415C7F">
      <w:rPr>
        <w:rFonts w:cs="FuturaStd-Medium"/>
        <w:caps/>
        <w:color w:val="000000"/>
        <w:spacing w:val="1"/>
        <w:sz w:val="11"/>
        <w:szCs w:val="11"/>
        <w:lang w:bidi="en-US"/>
      </w:rPr>
      <w:tab/>
    </w:r>
    <w:r w:rsidR="00CA33F8">
      <w:rPr>
        <w:rFonts w:cs="FuturaStd-Medium"/>
        <w:caps/>
        <w:color w:val="000000"/>
        <w:spacing w:val="1"/>
        <w:sz w:val="11"/>
        <w:szCs w:val="11"/>
        <w:lang w:bidi="en-US"/>
      </w:rPr>
      <w:t>703.413.1100</w:t>
    </w:r>
    <w:r w:rsidRPr="00415C7F">
      <w:rPr>
        <w:rFonts w:cs="FuturaStd-Medium"/>
        <w:caps/>
        <w:color w:val="000000"/>
        <w:spacing w:val="1"/>
        <w:sz w:val="11"/>
        <w:szCs w:val="11"/>
        <w:lang w:bidi="en-US"/>
      </w:rPr>
      <w:t xml:space="preserve"> </w:t>
    </w:r>
  </w:p>
  <w:p w14:paraId="3FF362E3" w14:textId="56154CC3" w:rsidR="00E93215" w:rsidRPr="00CA33F8" w:rsidRDefault="00E93215" w:rsidP="00CA33F8">
    <w:pPr>
      <w:widowControl w:val="0"/>
      <w:tabs>
        <w:tab w:val="left" w:pos="4000"/>
        <w:tab w:val="left" w:pos="6000"/>
        <w:tab w:val="left" w:pos="6210"/>
        <w:tab w:val="left" w:pos="7680"/>
        <w:tab w:val="left" w:pos="7920"/>
      </w:tabs>
      <w:autoSpaceDE w:val="0"/>
      <w:autoSpaceDN w:val="0"/>
      <w:adjustRightInd w:val="0"/>
      <w:spacing w:after="50" w:line="140" w:lineRule="atLeast"/>
      <w:ind w:left="-1890" w:right="-1066"/>
      <w:textAlignment w:val="center"/>
      <w:rPr>
        <w:rFonts w:cs="FuturaStd-Medium"/>
        <w:caps/>
        <w:color w:val="000000"/>
        <w:spacing w:val="1"/>
        <w:sz w:val="11"/>
        <w:szCs w:val="11"/>
        <w:lang w:bidi="en-US"/>
      </w:rPr>
    </w:pPr>
    <w:r w:rsidRPr="00415C7F">
      <w:rPr>
        <w:rFonts w:cs="FuturaStd-Medium"/>
        <w:caps/>
        <w:color w:val="000000"/>
        <w:spacing w:val="1"/>
        <w:sz w:val="11"/>
        <w:szCs w:val="11"/>
        <w:lang w:bidi="en-US"/>
      </w:rPr>
      <w:tab/>
    </w:r>
    <w:r w:rsidRPr="00415C7F">
      <w:rPr>
        <w:rFonts w:cs="FuturaStd-Medium"/>
        <w:caps/>
        <w:color w:val="000000"/>
        <w:spacing w:val="1"/>
        <w:sz w:val="11"/>
        <w:szCs w:val="11"/>
        <w:lang w:bidi="en-US"/>
      </w:rPr>
      <w:tab/>
    </w:r>
    <w:r w:rsidR="00CA33F8">
      <w:rPr>
        <w:rFonts w:cs="FuturaStd-Medium"/>
        <w:caps/>
        <w:color w:val="000000"/>
        <w:spacing w:val="1"/>
        <w:sz w:val="11"/>
        <w:szCs w:val="11"/>
        <w:lang w:bidi="en-US"/>
      </w:rPr>
      <w:t>Arlington, va 22202</w:t>
    </w:r>
    <w:r w:rsidRPr="00415C7F">
      <w:rPr>
        <w:rFonts w:cs="FuturaStd-Medium"/>
        <w:caps/>
        <w:color w:val="000000"/>
        <w:spacing w:val="1"/>
        <w:sz w:val="11"/>
        <w:szCs w:val="11"/>
        <w:lang w:bidi="en-US"/>
      </w:rPr>
      <w:tab/>
    </w:r>
    <w:r w:rsidRPr="00415C7F">
      <w:rPr>
        <w:rFonts w:cs="FuturaStd-Medium"/>
        <w:caps/>
        <w:color w:val="000000"/>
        <w:spacing w:val="1"/>
        <w:sz w:val="11"/>
        <w:szCs w:val="11"/>
        <w:lang w:bidi="en-US"/>
      </w:rPr>
      <w:tab/>
    </w:r>
  </w:p>
  <w:p w14:paraId="77256DA9" w14:textId="77777777" w:rsidR="00E93215" w:rsidRPr="00415C7F" w:rsidRDefault="00E93215" w:rsidP="00CA33F8">
    <w:pPr>
      <w:widowControl w:val="0"/>
      <w:tabs>
        <w:tab w:val="left" w:pos="4000"/>
        <w:tab w:val="left" w:pos="6000"/>
        <w:tab w:val="left" w:pos="7680"/>
        <w:tab w:val="left" w:pos="7920"/>
      </w:tabs>
      <w:autoSpaceDE w:val="0"/>
      <w:autoSpaceDN w:val="0"/>
      <w:adjustRightInd w:val="0"/>
      <w:spacing w:after="0" w:line="190" w:lineRule="atLeast"/>
      <w:ind w:right="-1066"/>
      <w:textAlignment w:val="center"/>
      <w:rPr>
        <w:rFonts w:cs="FuturaStd-Medium"/>
        <w:caps/>
        <w:color w:val="000000"/>
        <w:spacing w:val="1"/>
        <w:sz w:val="11"/>
        <w:szCs w:val="11"/>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071C"/>
    <w:multiLevelType w:val="hybridMultilevel"/>
    <w:tmpl w:val="88A6EBDC"/>
    <w:lvl w:ilvl="0" w:tplc="B87055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53701C"/>
    <w:multiLevelType w:val="hybridMultilevel"/>
    <w:tmpl w:val="77A20406"/>
    <w:lvl w:ilvl="0" w:tplc="0D3048F2">
      <w:start w:val="1"/>
      <w:numFmt w:val="decimal"/>
      <w:pStyle w:val="numberlis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4A"/>
    <w:rsid w:val="000C23A4"/>
    <w:rsid w:val="0010234E"/>
    <w:rsid w:val="00154E02"/>
    <w:rsid w:val="001655BF"/>
    <w:rsid w:val="00195090"/>
    <w:rsid w:val="00253430"/>
    <w:rsid w:val="002661FC"/>
    <w:rsid w:val="00287833"/>
    <w:rsid w:val="002E359E"/>
    <w:rsid w:val="00300A39"/>
    <w:rsid w:val="00303A55"/>
    <w:rsid w:val="003538E6"/>
    <w:rsid w:val="003A1DFD"/>
    <w:rsid w:val="003A6504"/>
    <w:rsid w:val="00455085"/>
    <w:rsid w:val="00473EEA"/>
    <w:rsid w:val="004C6DBA"/>
    <w:rsid w:val="004F2545"/>
    <w:rsid w:val="00502113"/>
    <w:rsid w:val="00545681"/>
    <w:rsid w:val="00591AB2"/>
    <w:rsid w:val="005B0499"/>
    <w:rsid w:val="005C5C77"/>
    <w:rsid w:val="005F3C19"/>
    <w:rsid w:val="00604B68"/>
    <w:rsid w:val="0066031C"/>
    <w:rsid w:val="0066354D"/>
    <w:rsid w:val="006E326E"/>
    <w:rsid w:val="00724FB8"/>
    <w:rsid w:val="007301F0"/>
    <w:rsid w:val="0074478D"/>
    <w:rsid w:val="007F7395"/>
    <w:rsid w:val="008551CC"/>
    <w:rsid w:val="008D46F3"/>
    <w:rsid w:val="0093620D"/>
    <w:rsid w:val="00982C4A"/>
    <w:rsid w:val="009A65BC"/>
    <w:rsid w:val="009E696E"/>
    <w:rsid w:val="00AA2FCC"/>
    <w:rsid w:val="00AD0E25"/>
    <w:rsid w:val="00B30E5C"/>
    <w:rsid w:val="00BA0962"/>
    <w:rsid w:val="00BE3C16"/>
    <w:rsid w:val="00C0680D"/>
    <w:rsid w:val="00C6073F"/>
    <w:rsid w:val="00C661B2"/>
    <w:rsid w:val="00CA33F8"/>
    <w:rsid w:val="00D12984"/>
    <w:rsid w:val="00E178DF"/>
    <w:rsid w:val="00E93215"/>
    <w:rsid w:val="00EE154D"/>
    <w:rsid w:val="00F1185D"/>
    <w:rsid w:val="00F75A16"/>
    <w:rsid w:val="00FD3C51"/>
    <w:rsid w:val="00FE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531E51"/>
  <w14:defaultImageDpi w14:val="300"/>
  <w15:docId w15:val="{A5618BBE-C5C9-DD42-88BC-430C448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83A"/>
    <w:pPr>
      <w:spacing w:after="240"/>
    </w:pPr>
    <w:rPr>
      <w:rFonts w:ascii="Futura Std Book" w:eastAsia="Times New Roman" w:hAnsi="Futura Std Book"/>
    </w:rPr>
  </w:style>
  <w:style w:type="paragraph" w:styleId="Heading1">
    <w:name w:val="heading 1"/>
    <w:aliases w:val="section head,h1"/>
    <w:basedOn w:val="Normal"/>
    <w:next w:val="Normal"/>
    <w:link w:val="Heading1Char"/>
    <w:uiPriority w:val="59"/>
    <w:qFormat/>
    <w:rsid w:val="00DC16FE"/>
    <w:pPr>
      <w:keepNext/>
      <w:keepLines/>
      <w:spacing w:after="720" w:line="240" w:lineRule="atLeast"/>
      <w:jc w:val="center"/>
      <w:outlineLvl w:val="0"/>
    </w:pPr>
    <w:rPr>
      <w:b/>
      <w:smallCaps/>
    </w:rPr>
  </w:style>
  <w:style w:type="paragraph" w:styleId="Heading2">
    <w:name w:val="heading 2"/>
    <w:aliases w:val="subhead 1,h2"/>
    <w:basedOn w:val="Normal"/>
    <w:next w:val="Normal"/>
    <w:link w:val="Heading2Char"/>
    <w:uiPriority w:val="59"/>
    <w:qFormat/>
    <w:rsid w:val="00DC16FE"/>
    <w:pPr>
      <w:keepNext/>
      <w:keepLines/>
      <w:spacing w:before="240" w:after="120" w:line="240" w:lineRule="atLeast"/>
      <w:outlineLvl w:val="1"/>
    </w:pPr>
    <w:rPr>
      <w:b/>
      <w:smallCaps/>
    </w:rPr>
  </w:style>
  <w:style w:type="paragraph" w:styleId="Heading3">
    <w:name w:val="heading 3"/>
    <w:aliases w:val="subhead 2,h3"/>
    <w:basedOn w:val="Normal"/>
    <w:next w:val="Normal"/>
    <w:link w:val="Heading3Char"/>
    <w:uiPriority w:val="59"/>
    <w:qFormat/>
    <w:rsid w:val="00DC16FE"/>
    <w:pPr>
      <w:keepNext/>
      <w:keepLines/>
      <w:spacing w:before="240" w:after="120" w:line="240" w:lineRule="atLeast"/>
      <w:outlineLvl w:val="2"/>
    </w:pPr>
    <w:rPr>
      <w:b/>
    </w:rPr>
  </w:style>
  <w:style w:type="paragraph" w:styleId="Heading7">
    <w:name w:val="heading 7"/>
    <w:aliases w:val="figure title,h7"/>
    <w:basedOn w:val="Normal"/>
    <w:next w:val="Normal"/>
    <w:link w:val="Heading7Char"/>
    <w:uiPriority w:val="59"/>
    <w:qFormat/>
    <w:rsid w:val="00DC16FE"/>
    <w:pPr>
      <w:keepNext/>
      <w:keepLines/>
      <w:spacing w:before="360" w:line="240" w:lineRule="atLeast"/>
      <w:jc w:val="center"/>
      <w:outlineLvl w:val="6"/>
    </w:pPr>
    <w:rPr>
      <w:b/>
    </w:rPr>
  </w:style>
  <w:style w:type="paragraph" w:styleId="Heading8">
    <w:name w:val="heading 8"/>
    <w:basedOn w:val="Normal"/>
    <w:next w:val="Normal"/>
    <w:link w:val="Heading8Char"/>
    <w:uiPriority w:val="9"/>
    <w:qFormat/>
    <w:rsid w:val="00DC16FE"/>
    <w:pPr>
      <w:spacing w:before="240" w:after="60"/>
      <w:outlineLvl w:val="7"/>
    </w:pPr>
    <w:rPr>
      <w:rFonts w:ascii="Calibri" w:hAnsi="Calibri"/>
      <w:i/>
      <w:iCs/>
      <w:sz w:val="24"/>
      <w:szCs w:val="24"/>
    </w:rPr>
  </w:style>
  <w:style w:type="paragraph" w:styleId="Heading9">
    <w:name w:val="heading 9"/>
    <w:aliases w:val="table title,h9"/>
    <w:basedOn w:val="Normal"/>
    <w:next w:val="Normal"/>
    <w:link w:val="Heading9Char"/>
    <w:uiPriority w:val="59"/>
    <w:qFormat/>
    <w:rsid w:val="00DC16FE"/>
    <w:pPr>
      <w:keepNext/>
      <w:keepLines/>
      <w:spacing w:before="360" w:line="240" w:lineRule="atLeas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
    <w:basedOn w:val="DefaultParagraphFont"/>
    <w:link w:val="Heading1"/>
    <w:uiPriority w:val="59"/>
    <w:semiHidden/>
    <w:rsid w:val="004055EB"/>
    <w:rPr>
      <w:rFonts w:ascii="Garamond" w:eastAsia="Times New Roman" w:hAnsi="Garamond"/>
      <w:b/>
      <w:smallCaps/>
      <w:sz w:val="22"/>
    </w:rPr>
  </w:style>
  <w:style w:type="character" w:customStyle="1" w:styleId="Heading2Char">
    <w:name w:val="Heading 2 Char"/>
    <w:aliases w:val="subhead 1 Char,h2 Char"/>
    <w:basedOn w:val="DefaultParagraphFont"/>
    <w:link w:val="Heading2"/>
    <w:uiPriority w:val="59"/>
    <w:semiHidden/>
    <w:rsid w:val="004055EB"/>
    <w:rPr>
      <w:rFonts w:ascii="Garamond" w:eastAsia="Times New Roman" w:hAnsi="Garamond"/>
      <w:b/>
      <w:smallCaps/>
      <w:sz w:val="22"/>
    </w:rPr>
  </w:style>
  <w:style w:type="character" w:customStyle="1" w:styleId="Heading3Char">
    <w:name w:val="Heading 3 Char"/>
    <w:aliases w:val="subhead 2 Char,h3 Char"/>
    <w:basedOn w:val="DefaultParagraphFont"/>
    <w:link w:val="Heading3"/>
    <w:uiPriority w:val="59"/>
    <w:semiHidden/>
    <w:rsid w:val="004055EB"/>
    <w:rPr>
      <w:rFonts w:ascii="Garamond" w:eastAsia="Times New Roman" w:hAnsi="Garamond"/>
      <w:b/>
      <w:sz w:val="22"/>
    </w:rPr>
  </w:style>
  <w:style w:type="character" w:customStyle="1" w:styleId="Heading7Char">
    <w:name w:val="Heading 7 Char"/>
    <w:aliases w:val="figure title Char,h7 Char"/>
    <w:basedOn w:val="DefaultParagraphFont"/>
    <w:link w:val="Heading7"/>
    <w:uiPriority w:val="59"/>
    <w:semiHidden/>
    <w:rsid w:val="004055EB"/>
    <w:rPr>
      <w:rFonts w:ascii="Garamond" w:eastAsia="Times New Roman" w:hAnsi="Garamond"/>
      <w:b/>
      <w:sz w:val="22"/>
    </w:rPr>
  </w:style>
  <w:style w:type="character" w:customStyle="1" w:styleId="Heading8Char">
    <w:name w:val="Heading 8 Char"/>
    <w:basedOn w:val="DefaultParagraphFont"/>
    <w:link w:val="Heading8"/>
    <w:uiPriority w:val="9"/>
    <w:semiHidden/>
    <w:rsid w:val="00DC16FE"/>
    <w:rPr>
      <w:rFonts w:ascii="Calibri" w:eastAsia="Times New Roman" w:hAnsi="Calibri"/>
      <w:i/>
      <w:iCs/>
      <w:sz w:val="24"/>
      <w:szCs w:val="24"/>
    </w:rPr>
  </w:style>
  <w:style w:type="character" w:customStyle="1" w:styleId="Heading9Char">
    <w:name w:val="Heading 9 Char"/>
    <w:aliases w:val="table title Char,h9 Char"/>
    <w:basedOn w:val="DefaultParagraphFont"/>
    <w:link w:val="Heading9"/>
    <w:uiPriority w:val="59"/>
    <w:semiHidden/>
    <w:rsid w:val="004055EB"/>
    <w:rPr>
      <w:rFonts w:ascii="Garamond" w:eastAsia="Times New Roman" w:hAnsi="Garamond"/>
      <w:b/>
      <w:sz w:val="22"/>
    </w:rPr>
  </w:style>
  <w:style w:type="paragraph" w:styleId="BalloonText">
    <w:name w:val="Balloon Text"/>
    <w:basedOn w:val="Normal"/>
    <w:link w:val="BalloonTextChar"/>
    <w:uiPriority w:val="99"/>
    <w:semiHidden/>
    <w:unhideWhenUsed/>
    <w:rsid w:val="0056575B"/>
    <w:rPr>
      <w:rFonts w:ascii="Tahoma" w:hAnsi="Tahoma" w:cs="Tahoma"/>
      <w:sz w:val="16"/>
      <w:szCs w:val="16"/>
    </w:rPr>
  </w:style>
  <w:style w:type="character" w:customStyle="1" w:styleId="BalloonTextChar">
    <w:name w:val="Balloon Text Char"/>
    <w:basedOn w:val="DefaultParagraphFont"/>
    <w:link w:val="BalloonText"/>
    <w:uiPriority w:val="99"/>
    <w:semiHidden/>
    <w:rsid w:val="0056575B"/>
    <w:rPr>
      <w:rFonts w:ascii="Tahoma" w:hAnsi="Tahoma" w:cs="Tahoma"/>
      <w:sz w:val="16"/>
      <w:szCs w:val="16"/>
    </w:rPr>
  </w:style>
  <w:style w:type="paragraph" w:customStyle="1" w:styleId="bulletedlist">
    <w:name w:val="bulleted list"/>
    <w:basedOn w:val="Normal"/>
    <w:rsid w:val="00DC16FE"/>
    <w:pPr>
      <w:numPr>
        <w:numId w:val="1"/>
      </w:numPr>
    </w:pPr>
  </w:style>
  <w:style w:type="paragraph" w:customStyle="1" w:styleId="equation">
    <w:name w:val="equation"/>
    <w:basedOn w:val="Normal"/>
    <w:next w:val="Normal"/>
    <w:rsid w:val="00DC16FE"/>
    <w:pPr>
      <w:tabs>
        <w:tab w:val="center" w:pos="4320"/>
        <w:tab w:val="right" w:pos="8640"/>
      </w:tabs>
      <w:spacing w:before="240"/>
    </w:pPr>
  </w:style>
  <w:style w:type="character" w:styleId="FootnoteReference">
    <w:name w:val="footnote reference"/>
    <w:basedOn w:val="DefaultParagraphFont"/>
    <w:rsid w:val="00721122"/>
    <w:rPr>
      <w:rFonts w:ascii="Futura Std Book" w:hAnsi="Futura Std Book"/>
      <w:position w:val="6"/>
      <w:sz w:val="16"/>
    </w:rPr>
  </w:style>
  <w:style w:type="paragraph" w:customStyle="1" w:styleId="leftflush">
    <w:name w:val="left flush ¶"/>
    <w:basedOn w:val="Normal"/>
    <w:next w:val="Normal"/>
    <w:rsid w:val="00DC16FE"/>
  </w:style>
  <w:style w:type="paragraph" w:customStyle="1" w:styleId="footnoteseparator">
    <w:name w:val="footnote separator"/>
    <w:basedOn w:val="leftflush"/>
    <w:rsid w:val="00DC16FE"/>
    <w:pPr>
      <w:tabs>
        <w:tab w:val="right" w:leader="underscore" w:pos="1440"/>
      </w:tabs>
    </w:pPr>
  </w:style>
  <w:style w:type="paragraph" w:styleId="FootnoteText">
    <w:name w:val="footnote text"/>
    <w:basedOn w:val="Normal"/>
    <w:link w:val="FootnoteTextChar"/>
    <w:rsid w:val="00DC16FE"/>
    <w:pPr>
      <w:spacing w:line="240" w:lineRule="atLeast"/>
    </w:pPr>
  </w:style>
  <w:style w:type="character" w:customStyle="1" w:styleId="FootnoteTextChar">
    <w:name w:val="Footnote Text Char"/>
    <w:basedOn w:val="DefaultParagraphFont"/>
    <w:link w:val="FootnoteText"/>
    <w:rsid w:val="00DC16FE"/>
    <w:rPr>
      <w:rFonts w:ascii="Courier" w:eastAsia="Times New Roman" w:hAnsi="Courier"/>
    </w:rPr>
  </w:style>
  <w:style w:type="paragraph" w:customStyle="1" w:styleId="List1">
    <w:name w:val="List1"/>
    <w:basedOn w:val="Normal"/>
    <w:rsid w:val="00DC16FE"/>
    <w:pPr>
      <w:ind w:left="605"/>
    </w:pPr>
  </w:style>
  <w:style w:type="paragraph" w:customStyle="1" w:styleId="numberlist">
    <w:name w:val="number list"/>
    <w:basedOn w:val="Normal"/>
    <w:rsid w:val="00DC16FE"/>
    <w:pPr>
      <w:numPr>
        <w:numId w:val="2"/>
      </w:numPr>
      <w:tabs>
        <w:tab w:val="decimal" w:pos="800"/>
      </w:tabs>
    </w:pPr>
  </w:style>
  <w:style w:type="paragraph" w:customStyle="1" w:styleId="quotation">
    <w:name w:val="quotation"/>
    <w:basedOn w:val="Normal"/>
    <w:next w:val="Normal"/>
    <w:rsid w:val="00DC16FE"/>
    <w:pPr>
      <w:tabs>
        <w:tab w:val="left" w:pos="1080"/>
      </w:tabs>
      <w:spacing w:line="240" w:lineRule="atLeast"/>
      <w:ind w:left="600" w:right="600"/>
    </w:pPr>
  </w:style>
  <w:style w:type="paragraph" w:customStyle="1" w:styleId="corporateletterheadWord2003">
    <w:name w:val="Ω(corporate letterhead Word 2003)"/>
    <w:basedOn w:val="Normal"/>
    <w:next w:val="Normal"/>
    <w:rsid w:val="00DC16FE"/>
    <w:pPr>
      <w:keepNext/>
      <w:keepLines/>
      <w:spacing w:before="240" w:after="720" w:line="240" w:lineRule="atLeast"/>
      <w:jc w:val="center"/>
    </w:pPr>
    <w:rPr>
      <w:b/>
      <w:caps/>
    </w:rPr>
  </w:style>
  <w:style w:type="paragraph" w:styleId="Header">
    <w:name w:val="header"/>
    <w:basedOn w:val="Normal"/>
    <w:link w:val="HeaderChar"/>
    <w:unhideWhenUsed/>
    <w:rsid w:val="0008463E"/>
    <w:pPr>
      <w:tabs>
        <w:tab w:val="center" w:pos="4680"/>
        <w:tab w:val="right" w:pos="9360"/>
      </w:tabs>
    </w:pPr>
  </w:style>
  <w:style w:type="character" w:customStyle="1" w:styleId="HeaderChar">
    <w:name w:val="Header Char"/>
    <w:basedOn w:val="DefaultParagraphFont"/>
    <w:link w:val="Header"/>
    <w:rsid w:val="0008463E"/>
    <w:rPr>
      <w:rFonts w:ascii="Garamond" w:eastAsia="Times New Roman" w:hAnsi="Garamond"/>
      <w:sz w:val="22"/>
    </w:rPr>
  </w:style>
  <w:style w:type="paragraph" w:styleId="Footer">
    <w:name w:val="footer"/>
    <w:basedOn w:val="Normal"/>
    <w:link w:val="FooterChar"/>
    <w:uiPriority w:val="99"/>
    <w:unhideWhenUsed/>
    <w:rsid w:val="0008463E"/>
    <w:pPr>
      <w:tabs>
        <w:tab w:val="center" w:pos="4680"/>
        <w:tab w:val="right" w:pos="9360"/>
      </w:tabs>
    </w:pPr>
  </w:style>
  <w:style w:type="character" w:customStyle="1" w:styleId="FooterChar">
    <w:name w:val="Footer Char"/>
    <w:basedOn w:val="DefaultParagraphFont"/>
    <w:link w:val="Footer"/>
    <w:uiPriority w:val="99"/>
    <w:rsid w:val="0008463E"/>
    <w:rPr>
      <w:rFonts w:ascii="Garamond" w:eastAsia="Times New Roman" w:hAnsi="Garamond"/>
      <w:sz w:val="22"/>
    </w:rPr>
  </w:style>
  <w:style w:type="paragraph" w:customStyle="1" w:styleId="NoParagraphStyle">
    <w:name w:val="[No Paragraph Style]"/>
    <w:rsid w:val="003A1DFD"/>
    <w:pPr>
      <w:widowControl w:val="0"/>
      <w:autoSpaceDE w:val="0"/>
      <w:autoSpaceDN w:val="0"/>
      <w:adjustRightInd w:val="0"/>
      <w:spacing w:line="288" w:lineRule="auto"/>
    </w:pPr>
    <w:rPr>
      <w:rFonts w:ascii="Helvetica-ExtraCompressed" w:eastAsia="Times New Roman" w:hAnsi="Helvetica-ExtraCompressed" w:cs="Helvetica-ExtraCompressed"/>
      <w:color w:val="000000"/>
      <w:sz w:val="24"/>
      <w:szCs w:val="24"/>
      <w:lang w:bidi="en-US"/>
    </w:rPr>
  </w:style>
  <w:style w:type="paragraph" w:customStyle="1" w:styleId="6-RANDRESEARCHAREAStitles">
    <w:name w:val="6-RAND RESEARCH AREAS titles"/>
    <w:basedOn w:val="NoParagraphStyle"/>
    <w:uiPriority w:val="99"/>
    <w:rsid w:val="003A1DFD"/>
    <w:pPr>
      <w:spacing w:after="50" w:line="120" w:lineRule="atLeast"/>
      <w:jc w:val="right"/>
    </w:pPr>
    <w:rPr>
      <w:rFonts w:ascii="FuturaStd-Heavy" w:hAnsi="FuturaStd-Heavy" w:cs="FuturaStd-Heavy"/>
      <w:caps/>
      <w:color w:val="1C00FF"/>
      <w:spacing w:val="1"/>
      <w:sz w:val="9"/>
      <w:szCs w:val="9"/>
    </w:rPr>
  </w:style>
  <w:style w:type="paragraph" w:customStyle="1" w:styleId="7-RAlistings">
    <w:name w:val="7-RA listings"/>
    <w:basedOn w:val="NoParagraphStyle"/>
    <w:uiPriority w:val="99"/>
    <w:rsid w:val="003A1DFD"/>
    <w:pPr>
      <w:spacing w:after="50" w:line="120" w:lineRule="atLeast"/>
      <w:jc w:val="right"/>
    </w:pPr>
    <w:rPr>
      <w:rFonts w:ascii="FuturaStd-Medium" w:hAnsi="FuturaStd-Medium" w:cs="FuturaStd-Medium"/>
      <w:caps/>
      <w:color w:val="1C00FF"/>
      <w:sz w:val="9"/>
      <w:szCs w:val="9"/>
    </w:rPr>
  </w:style>
  <w:style w:type="paragraph" w:customStyle="1" w:styleId="FigurePlacement">
    <w:name w:val="Figure Placement"/>
    <w:basedOn w:val="Normal"/>
    <w:next w:val="Normal"/>
    <w:qFormat/>
    <w:rsid w:val="003538E6"/>
    <w:pPr>
      <w:spacing w:line="288" w:lineRule="auto"/>
      <w:jc w:val="center"/>
    </w:pPr>
    <w:rPr>
      <w:rFonts w:ascii="Times New Roman" w:hAnsi="Times New Roman"/>
      <w:sz w:val="24"/>
      <w:szCs w:val="24"/>
    </w:rPr>
  </w:style>
  <w:style w:type="paragraph" w:customStyle="1" w:styleId="FigureNote">
    <w:name w:val="Figure Note"/>
    <w:basedOn w:val="Normal"/>
    <w:next w:val="Normal"/>
    <w:qFormat/>
    <w:rsid w:val="003538E6"/>
    <w:pPr>
      <w:widowControl w:val="0"/>
      <w:jc w:val="center"/>
    </w:pPr>
    <w:rPr>
      <w:rFonts w:ascii="Arial" w:hAnsi="Arial"/>
      <w:sz w:val="18"/>
    </w:rPr>
  </w:style>
  <w:style w:type="paragraph" w:customStyle="1" w:styleId="TableNote">
    <w:name w:val="Table Note"/>
    <w:basedOn w:val="TableBody"/>
    <w:qFormat/>
    <w:rsid w:val="003538E6"/>
    <w:pPr>
      <w:contextualSpacing/>
    </w:pPr>
  </w:style>
  <w:style w:type="paragraph" w:customStyle="1" w:styleId="TableBody">
    <w:name w:val="Table Body"/>
    <w:basedOn w:val="Normal"/>
    <w:qFormat/>
    <w:rsid w:val="003538E6"/>
    <w:pPr>
      <w:widowControl w:val="0"/>
      <w:spacing w:after="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28393">
      <w:bodyDiv w:val="1"/>
      <w:marLeft w:val="0"/>
      <w:marRight w:val="0"/>
      <w:marTop w:val="0"/>
      <w:marBottom w:val="0"/>
      <w:divBdr>
        <w:top w:val="none" w:sz="0" w:space="0" w:color="auto"/>
        <w:left w:val="none" w:sz="0" w:space="0" w:color="auto"/>
        <w:bottom w:val="none" w:sz="0" w:space="0" w:color="auto"/>
        <w:right w:val="none" w:sz="0" w:space="0" w:color="auto"/>
      </w:divBdr>
    </w:div>
    <w:div w:id="151179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7.25.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6.26.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6.26.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7.25.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7.25.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7.25.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7.25.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7.25.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chandler\Documents\Africa's%20Role%20in%20Nationbuilding\Comparative%20Data\Comparative%20Data%20Tables,%2006.26.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76748098795347"/>
          <c:y val="5.5555555555555525E-2"/>
          <c:w val="0.89523251901204637"/>
          <c:h val="0.71089047462817212"/>
        </c:manualLayout>
      </c:layout>
      <c:barChart>
        <c:barDir val="col"/>
        <c:grouping val="clustered"/>
        <c:varyColors val="0"/>
        <c:ser>
          <c:idx val="0"/>
          <c:order val="0"/>
          <c:tx>
            <c:strRef>
              <c:f>'9.8 Refugee Returns'!$B$4</c:f>
              <c:strCache>
                <c:ptCount val="1"/>
                <c:pt idx="0">
                  <c:v>U.S./NATO</c:v>
                </c:pt>
              </c:strCache>
            </c:strRef>
          </c:tx>
          <c:spPr>
            <a:solidFill>
              <a:schemeClr val="bg1">
                <a:lumMod val="85000"/>
              </a:schemeClr>
            </a:solidFill>
            <a:ln>
              <a:solidFill>
                <a:schemeClr val="tx1"/>
              </a:solidFill>
            </a:ln>
            <a:effectLst/>
          </c:spPr>
          <c:invertIfNegative val="0"/>
          <c:dLbls>
            <c:dLbl>
              <c:idx val="0"/>
              <c:layout>
                <c:manualLayout>
                  <c:x val="-1.913687009138709E-17"/>
                  <c:y val="5.82321741032371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D8-44A9-B401-47FDD5C9AABC}"/>
                </c:ext>
              </c:extLst>
            </c:dLbl>
            <c:dLbl>
              <c:idx val="1"/>
              <c:layout>
                <c:manualLayout>
                  <c:x val="0"/>
                  <c:y val="8.73496281714786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D8-44A9-B401-47FDD5C9AABC}"/>
                </c:ext>
              </c:extLst>
            </c:dLbl>
            <c:dLbl>
              <c:idx val="2"/>
              <c:layout>
                <c:manualLayout>
                  <c:x val="0"/>
                  <c:y val="1.06260936132983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D8-44A9-B401-47FDD5C9AABC}"/>
                </c:ext>
              </c:extLst>
            </c:dLbl>
            <c:dLbl>
              <c:idx val="3"/>
              <c:layout>
                <c:manualLayout>
                  <c:x val="-2.0876236624268142E-3"/>
                  <c:y val="1.71029520623847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D8-44A9-B401-47FDD5C9AABC}"/>
                </c:ext>
              </c:extLst>
            </c:dLbl>
            <c:dLbl>
              <c:idx val="4"/>
              <c:layout>
                <c:manualLayout>
                  <c:x val="-3.8273740182774187E-17"/>
                  <c:y val="1.37040682414698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D8-44A9-B401-47FDD5C9AABC}"/>
                </c:ext>
              </c:extLst>
            </c:dLbl>
            <c:dLbl>
              <c:idx val="5"/>
              <c:layout>
                <c:manualLayout>
                  <c:x val="-1.6334884026761795E-3"/>
                  <c:y val="0.3555602034120736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D8-44A9-B401-47FDD5C9AAB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'9.8 Refugee Returns'!$A$5:$A$25</c:f>
              <c:strCache>
                <c:ptCount val="21"/>
                <c:pt idx="0">
                  <c:v>Somalia (I)</c:v>
                </c:pt>
                <c:pt idx="1">
                  <c:v>Haiti</c:v>
                </c:pt>
                <c:pt idx="2">
                  <c:v>Bosnia (I)</c:v>
                </c:pt>
                <c:pt idx="3">
                  <c:v>Kosovo</c:v>
                </c:pt>
                <c:pt idx="4">
                  <c:v>Afghanistan</c:v>
                </c:pt>
                <c:pt idx="5">
                  <c:v>Iraq</c:v>
                </c:pt>
                <c:pt idx="6">
                  <c:v>Namibia</c:v>
                </c:pt>
                <c:pt idx="7">
                  <c:v>El Salvador</c:v>
                </c:pt>
                <c:pt idx="8">
                  <c:v>Cambodia</c:v>
                </c:pt>
                <c:pt idx="9">
                  <c:v>Mozambique</c:v>
                </c:pt>
                <c:pt idx="10">
                  <c:v>Eastern Slavonia</c:v>
                </c:pt>
                <c:pt idx="11">
                  <c:v>East Timor</c:v>
                </c:pt>
                <c:pt idx="12">
                  <c:v>Albania</c:v>
                </c:pt>
                <c:pt idx="13">
                  <c:v>Sierra Leone</c:v>
                </c:pt>
                <c:pt idx="14">
                  <c:v>Macedonia</c:v>
                </c:pt>
                <c:pt idx="15">
                  <c:v>Cote d'Ivoire</c:v>
                </c:pt>
                <c:pt idx="16">
                  <c:v>DR Congo</c:v>
                </c:pt>
                <c:pt idx="17">
                  <c:v>Bosnia (II)</c:v>
                </c:pt>
                <c:pt idx="18">
                  <c:v>Burundi</c:v>
                </c:pt>
                <c:pt idx="19">
                  <c:v>CAR</c:v>
                </c:pt>
                <c:pt idx="20">
                  <c:v>Somalia (II)</c:v>
                </c:pt>
              </c:strCache>
            </c:strRef>
          </c:cat>
          <c:val>
            <c:numRef>
              <c:f>'9.8 Refugee Returns'!$B$5:$B$25</c:f>
              <c:numCache>
                <c:formatCode>0.0</c:formatCode>
                <c:ptCount val="21"/>
                <c:pt idx="0">
                  <c:v>25.6</c:v>
                </c:pt>
                <c:pt idx="1">
                  <c:v>38.4</c:v>
                </c:pt>
                <c:pt idx="2">
                  <c:v>52.2</c:v>
                </c:pt>
                <c:pt idx="3">
                  <c:v>100</c:v>
                </c:pt>
                <c:pt idx="4">
                  <c:v>45.1</c:v>
                </c:pt>
                <c:pt idx="5">
                  <c:v>-416.4</c:v>
                </c:pt>
              </c:numCache>
            </c:numRef>
          </c:val>
          <c:extLst>
            <c:ext xmlns:c16="http://schemas.microsoft.com/office/drawing/2014/chart" uri="{C3380CC4-5D6E-409C-BE32-E72D297353CC}">
              <c16:uniqueId val="{00000006-D1D8-44A9-B401-47FDD5C9AABC}"/>
            </c:ext>
          </c:extLst>
        </c:ser>
        <c:ser>
          <c:idx val="1"/>
          <c:order val="1"/>
          <c:tx>
            <c:strRef>
              <c:f>'9.8 Refugee Returns'!$C$4</c:f>
              <c:strCache>
                <c:ptCount val="1"/>
                <c:pt idx="0">
                  <c:v>UN</c:v>
                </c:pt>
              </c:strCache>
            </c:strRef>
          </c:tx>
          <c:spPr>
            <a:solidFill>
              <a:schemeClr val="bg1">
                <a:lumMod val="65000"/>
              </a:schemeClr>
            </a:solidFill>
            <a:ln>
              <a:solidFill>
                <a:schemeClr val="tx1"/>
              </a:solidFill>
            </a:ln>
            <a:effectLst/>
          </c:spPr>
          <c:invertIfNegative val="0"/>
          <c:dLbls>
            <c:dLbl>
              <c:idx val="6"/>
              <c:layout>
                <c:manualLayout>
                  <c:x val="3.0284675953967309E-6"/>
                  <c:y val="2.11001596828368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D8-44A9-B401-47FDD5C9AABC}"/>
                </c:ext>
              </c:extLst>
            </c:dLbl>
            <c:dLbl>
              <c:idx val="7"/>
              <c:layout>
                <c:manualLayout>
                  <c:x val="-7.6547480365548336E-17"/>
                  <c:y val="1.88713910761154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1D8-44A9-B401-47FDD5C9AABC}"/>
                </c:ext>
              </c:extLst>
            </c:dLbl>
            <c:dLbl>
              <c:idx val="8"/>
              <c:layout>
                <c:manualLayout>
                  <c:x val="0"/>
                  <c:y val="1.59224628171478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1D8-44A9-B401-47FDD5C9AABC}"/>
                </c:ext>
              </c:extLst>
            </c:dLbl>
            <c:dLbl>
              <c:idx val="9"/>
              <c:layout>
                <c:manualLayout>
                  <c:x val="-2.136752136752137E-3"/>
                  <c:y val="-3.48659214800947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1D8-44A9-B401-47FDD5C9AABC}"/>
                </c:ext>
              </c:extLst>
            </c:dLbl>
            <c:dLbl>
              <c:idx val="10"/>
              <c:layout>
                <c:manualLayout>
                  <c:x val="0"/>
                  <c:y val="8.33716097987751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1D8-44A9-B401-47FDD5C9AABC}"/>
                </c:ext>
              </c:extLst>
            </c:dLbl>
            <c:dLbl>
              <c:idx val="11"/>
              <c:layout>
                <c:manualLayout>
                  <c:x val="-2.1367521367522142E-3"/>
                  <c:y val="2.11001596828368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1D8-44A9-B401-47FDD5C9AAB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'9.8 Refugee Returns'!$A$5:$A$25</c:f>
              <c:strCache>
                <c:ptCount val="21"/>
                <c:pt idx="0">
                  <c:v>Somalia (I)</c:v>
                </c:pt>
                <c:pt idx="1">
                  <c:v>Haiti</c:v>
                </c:pt>
                <c:pt idx="2">
                  <c:v>Bosnia (I)</c:v>
                </c:pt>
                <c:pt idx="3">
                  <c:v>Kosovo</c:v>
                </c:pt>
                <c:pt idx="4">
                  <c:v>Afghanistan</c:v>
                </c:pt>
                <c:pt idx="5">
                  <c:v>Iraq</c:v>
                </c:pt>
                <c:pt idx="6">
                  <c:v>Namibia</c:v>
                </c:pt>
                <c:pt idx="7">
                  <c:v>El Salvador</c:v>
                </c:pt>
                <c:pt idx="8">
                  <c:v>Cambodia</c:v>
                </c:pt>
                <c:pt idx="9">
                  <c:v>Mozambique</c:v>
                </c:pt>
                <c:pt idx="10">
                  <c:v>Eastern Slavonia</c:v>
                </c:pt>
                <c:pt idx="11">
                  <c:v>East Timor</c:v>
                </c:pt>
                <c:pt idx="12">
                  <c:v>Albania</c:v>
                </c:pt>
                <c:pt idx="13">
                  <c:v>Sierra Leone</c:v>
                </c:pt>
                <c:pt idx="14">
                  <c:v>Macedonia</c:v>
                </c:pt>
                <c:pt idx="15">
                  <c:v>Cote d'Ivoire</c:v>
                </c:pt>
                <c:pt idx="16">
                  <c:v>DR Congo</c:v>
                </c:pt>
                <c:pt idx="17">
                  <c:v>Bosnia (II)</c:v>
                </c:pt>
                <c:pt idx="18">
                  <c:v>Burundi</c:v>
                </c:pt>
                <c:pt idx="19">
                  <c:v>CAR</c:v>
                </c:pt>
                <c:pt idx="20">
                  <c:v>Somalia (II)</c:v>
                </c:pt>
              </c:strCache>
            </c:strRef>
          </c:cat>
          <c:val>
            <c:numRef>
              <c:f>'9.8 Refugee Returns'!$C$5:$C$25</c:f>
              <c:numCache>
                <c:formatCode>General</c:formatCode>
                <c:ptCount val="21"/>
                <c:pt idx="6" formatCode="0.0">
                  <c:v>99.9</c:v>
                </c:pt>
                <c:pt idx="7" formatCode="0.0">
                  <c:v>44.8</c:v>
                </c:pt>
                <c:pt idx="8" formatCode="0.0">
                  <c:v>82.4</c:v>
                </c:pt>
                <c:pt idx="9" formatCode="0.0">
                  <c:v>97.9</c:v>
                </c:pt>
                <c:pt idx="10" formatCode="0.0">
                  <c:v>73.5</c:v>
                </c:pt>
                <c:pt idx="11" formatCode="0.0">
                  <c:v>100</c:v>
                </c:pt>
              </c:numCache>
            </c:numRef>
          </c:val>
          <c:extLst>
            <c:ext xmlns:c16="http://schemas.microsoft.com/office/drawing/2014/chart" uri="{C3380CC4-5D6E-409C-BE32-E72D297353CC}">
              <c16:uniqueId val="{0000000D-D1D8-44A9-B401-47FDD5C9AABC}"/>
            </c:ext>
          </c:extLst>
        </c:ser>
        <c:ser>
          <c:idx val="2"/>
          <c:order val="2"/>
          <c:tx>
            <c:strRef>
              <c:f>'9.8 Refugee Returns'!$D$4</c:f>
              <c:strCache>
                <c:ptCount val="1"/>
                <c:pt idx="0">
                  <c:v>European</c:v>
                </c:pt>
              </c:strCache>
            </c:strRef>
          </c:tx>
          <c:spPr>
            <a:solidFill>
              <a:schemeClr val="tx1"/>
            </a:solidFill>
            <a:ln>
              <a:solidFill>
                <a:schemeClr val="tx1"/>
              </a:solidFill>
            </a:ln>
            <a:effectLst/>
          </c:spPr>
          <c:invertIfNegative val="0"/>
          <c:dLbls>
            <c:dLbl>
              <c:idx val="12"/>
              <c:layout>
                <c:manualLayout>
                  <c:x val="2.5381798089125118E-3"/>
                  <c:y val="0.3520879811898516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1D8-44A9-B401-47FDD5C9AABC}"/>
                </c:ext>
              </c:extLst>
            </c:dLbl>
            <c:dLbl>
              <c:idx val="13"/>
              <c:layout>
                <c:manualLayout>
                  <c:x val="-7.6441086356017894E-17"/>
                  <c:y val="7.1019247594050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1D8-44A9-B401-47FDD5C9AABC}"/>
                </c:ext>
              </c:extLst>
            </c:dLbl>
            <c:dLbl>
              <c:idx val="14"/>
              <c:layout>
                <c:manualLayout>
                  <c:x val="-1.5669334656024633E-16"/>
                  <c:y val="2.134243709046859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1D8-44A9-B401-47FDD5C9AABC}"/>
                </c:ext>
              </c:extLst>
            </c:dLbl>
            <c:dLbl>
              <c:idx val="15"/>
              <c:layout>
                <c:manualLayout>
                  <c:x val="0"/>
                  <c:y val="1.45617344706911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1D8-44A9-B401-47FDD5C9AABC}"/>
                </c:ext>
              </c:extLst>
            </c:dLbl>
            <c:dLbl>
              <c:idx val="16"/>
              <c:layout>
                <c:manualLayout>
                  <c:x val="-1.5288217271203574E-16"/>
                  <c:y val="1.41505358705161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1D8-44A9-B401-47FDD5C9AABC}"/>
                </c:ext>
              </c:extLst>
            </c:dLbl>
            <c:dLbl>
              <c:idx val="17"/>
              <c:layout>
                <c:manualLayout>
                  <c:x val="-1.5288217271203574E-16"/>
                  <c:y val="1.5298283027121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1D8-44A9-B401-47FDD5C9AAB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'9.8 Refugee Returns'!$A$5:$A$25</c:f>
              <c:strCache>
                <c:ptCount val="21"/>
                <c:pt idx="0">
                  <c:v>Somalia (I)</c:v>
                </c:pt>
                <c:pt idx="1">
                  <c:v>Haiti</c:v>
                </c:pt>
                <c:pt idx="2">
                  <c:v>Bosnia (I)</c:v>
                </c:pt>
                <c:pt idx="3">
                  <c:v>Kosovo</c:v>
                </c:pt>
                <c:pt idx="4">
                  <c:v>Afghanistan</c:v>
                </c:pt>
                <c:pt idx="5">
                  <c:v>Iraq</c:v>
                </c:pt>
                <c:pt idx="6">
                  <c:v>Namibia</c:v>
                </c:pt>
                <c:pt idx="7">
                  <c:v>El Salvador</c:v>
                </c:pt>
                <c:pt idx="8">
                  <c:v>Cambodia</c:v>
                </c:pt>
                <c:pt idx="9">
                  <c:v>Mozambique</c:v>
                </c:pt>
                <c:pt idx="10">
                  <c:v>Eastern Slavonia</c:v>
                </c:pt>
                <c:pt idx="11">
                  <c:v>East Timor</c:v>
                </c:pt>
                <c:pt idx="12">
                  <c:v>Albania</c:v>
                </c:pt>
                <c:pt idx="13">
                  <c:v>Sierra Leone</c:v>
                </c:pt>
                <c:pt idx="14">
                  <c:v>Macedonia</c:v>
                </c:pt>
                <c:pt idx="15">
                  <c:v>Cote d'Ivoire</c:v>
                </c:pt>
                <c:pt idx="16">
                  <c:v>DR Congo</c:v>
                </c:pt>
                <c:pt idx="17">
                  <c:v>Bosnia (II)</c:v>
                </c:pt>
                <c:pt idx="18">
                  <c:v>Burundi</c:v>
                </c:pt>
                <c:pt idx="19">
                  <c:v>CAR</c:v>
                </c:pt>
                <c:pt idx="20">
                  <c:v>Somalia (II)</c:v>
                </c:pt>
              </c:strCache>
            </c:strRef>
          </c:cat>
          <c:val>
            <c:numRef>
              <c:f>'9.8 Refugee Returns'!$D$5:$D$25</c:f>
              <c:numCache>
                <c:formatCode>General</c:formatCode>
                <c:ptCount val="21"/>
                <c:pt idx="12" formatCode="0.0">
                  <c:v>-99.7</c:v>
                </c:pt>
                <c:pt idx="13" formatCode="0.0">
                  <c:v>85.6</c:v>
                </c:pt>
                <c:pt idx="14" formatCode="0.0">
                  <c:v>100</c:v>
                </c:pt>
                <c:pt idx="15" formatCode="0.0">
                  <c:v>21.8</c:v>
                </c:pt>
                <c:pt idx="16" formatCode="0.0">
                  <c:v>18.8</c:v>
                </c:pt>
                <c:pt idx="17" formatCode="0.0">
                  <c:v>69.400000000000006</c:v>
                </c:pt>
              </c:numCache>
            </c:numRef>
          </c:val>
          <c:extLst>
            <c:ext xmlns:c16="http://schemas.microsoft.com/office/drawing/2014/chart" uri="{C3380CC4-5D6E-409C-BE32-E72D297353CC}">
              <c16:uniqueId val="{00000014-D1D8-44A9-B401-47FDD5C9AABC}"/>
            </c:ext>
          </c:extLst>
        </c:ser>
        <c:ser>
          <c:idx val="3"/>
          <c:order val="3"/>
          <c:tx>
            <c:strRef>
              <c:f>'9.8 Refugee Returns'!$E$4</c:f>
              <c:strCache>
                <c:ptCount val="1"/>
                <c:pt idx="0">
                  <c:v>African</c:v>
                </c:pt>
              </c:strCache>
            </c:strRef>
          </c:tx>
          <c:spPr>
            <a:pattFill prst="wdUpDiag">
              <a:fgClr>
                <a:schemeClr val="tx1"/>
              </a:fgClr>
              <a:bgClr>
                <a:schemeClr val="bg1"/>
              </a:bgClr>
            </a:pattFill>
            <a:ln>
              <a:solidFill>
                <a:schemeClr val="tx1"/>
              </a:solidFill>
            </a:ln>
            <a:effectLst/>
          </c:spPr>
          <c:invertIfNegative val="0"/>
          <c:dLbls>
            <c:dLbl>
              <c:idx val="18"/>
              <c:layout>
                <c:manualLayout>
                  <c:x val="-1.5288217271203574E-16"/>
                  <c:y val="1.1993930446194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1D8-44A9-B401-47FDD5C9AABC}"/>
                </c:ext>
              </c:extLst>
            </c:dLbl>
            <c:dLbl>
              <c:idx val="19"/>
              <c:layout>
                <c:manualLayout>
                  <c:x val="4.5356298098729023E-4"/>
                  <c:y val="0.348615758967629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1D8-44A9-B401-47FDD5C9AABC}"/>
                </c:ext>
              </c:extLst>
            </c:dLbl>
            <c:dLbl>
              <c:idx val="20"/>
              <c:layout>
                <c:manualLayout>
                  <c:x val="1.8632771082675866E-2"/>
                  <c:y val="0.262898622047244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1D8-44A9-B401-47FDD5C9AAB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'9.8 Refugee Returns'!$A$5:$A$25</c:f>
              <c:strCache>
                <c:ptCount val="21"/>
                <c:pt idx="0">
                  <c:v>Somalia (I)</c:v>
                </c:pt>
                <c:pt idx="1">
                  <c:v>Haiti</c:v>
                </c:pt>
                <c:pt idx="2">
                  <c:v>Bosnia (I)</c:v>
                </c:pt>
                <c:pt idx="3">
                  <c:v>Kosovo</c:v>
                </c:pt>
                <c:pt idx="4">
                  <c:v>Afghanistan</c:v>
                </c:pt>
                <c:pt idx="5">
                  <c:v>Iraq</c:v>
                </c:pt>
                <c:pt idx="6">
                  <c:v>Namibia</c:v>
                </c:pt>
                <c:pt idx="7">
                  <c:v>El Salvador</c:v>
                </c:pt>
                <c:pt idx="8">
                  <c:v>Cambodia</c:v>
                </c:pt>
                <c:pt idx="9">
                  <c:v>Mozambique</c:v>
                </c:pt>
                <c:pt idx="10">
                  <c:v>Eastern Slavonia</c:v>
                </c:pt>
                <c:pt idx="11">
                  <c:v>East Timor</c:v>
                </c:pt>
                <c:pt idx="12">
                  <c:v>Albania</c:v>
                </c:pt>
                <c:pt idx="13">
                  <c:v>Sierra Leone</c:v>
                </c:pt>
                <c:pt idx="14">
                  <c:v>Macedonia</c:v>
                </c:pt>
                <c:pt idx="15">
                  <c:v>Cote d'Ivoire</c:v>
                </c:pt>
                <c:pt idx="16">
                  <c:v>DR Congo</c:v>
                </c:pt>
                <c:pt idx="17">
                  <c:v>Bosnia (II)</c:v>
                </c:pt>
                <c:pt idx="18">
                  <c:v>Burundi</c:v>
                </c:pt>
                <c:pt idx="19">
                  <c:v>CAR</c:v>
                </c:pt>
                <c:pt idx="20">
                  <c:v>Somalia (II)</c:v>
                </c:pt>
              </c:strCache>
            </c:strRef>
          </c:cat>
          <c:val>
            <c:numRef>
              <c:f>'9.8 Refugee Returns'!$E$5:$E$25</c:f>
              <c:numCache>
                <c:formatCode>General</c:formatCode>
                <c:ptCount val="21"/>
                <c:pt idx="18" formatCode="0.0">
                  <c:v>28.4</c:v>
                </c:pt>
                <c:pt idx="19" formatCode="0.0">
                  <c:v>-292</c:v>
                </c:pt>
                <c:pt idx="20" formatCode="0.0">
                  <c:v>-35</c:v>
                </c:pt>
              </c:numCache>
            </c:numRef>
          </c:val>
          <c:extLst>
            <c:ext xmlns:c16="http://schemas.microsoft.com/office/drawing/2014/chart" uri="{C3380CC4-5D6E-409C-BE32-E72D297353CC}">
              <c16:uniqueId val="{00000018-D1D8-44A9-B401-47FDD5C9AABC}"/>
            </c:ext>
          </c:extLst>
        </c:ser>
        <c:dLbls>
          <c:showLegendKey val="0"/>
          <c:showVal val="1"/>
          <c:showCatName val="0"/>
          <c:showSerName val="0"/>
          <c:showPercent val="0"/>
          <c:showBubbleSize val="0"/>
        </c:dLbls>
        <c:gapWidth val="65"/>
        <c:overlap val="100"/>
        <c:axId val="143033472"/>
        <c:axId val="143035008"/>
      </c:barChart>
      <c:catAx>
        <c:axId val="143033472"/>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mj-lt"/>
                <a:ea typeface="+mn-ea"/>
                <a:cs typeface="+mn-cs"/>
              </a:defRPr>
            </a:pPr>
            <a:endParaRPr lang="en-US"/>
          </a:p>
        </c:txPr>
        <c:crossAx val="143035008"/>
        <c:crossesAt val="0"/>
        <c:auto val="1"/>
        <c:lblAlgn val="ctr"/>
        <c:lblOffset val="100"/>
        <c:noMultiLvlLbl val="0"/>
      </c:catAx>
      <c:valAx>
        <c:axId val="143035008"/>
        <c:scaling>
          <c:orientation val="minMax"/>
          <c:max val="100"/>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Percentage of refugees refturned after 5 years</a:t>
                </a:r>
              </a:p>
            </c:rich>
          </c:tx>
          <c:layout>
            <c:manualLayout>
              <c:xMode val="edge"/>
              <c:yMode val="edge"/>
              <c:x val="1.0438413361169102E-2"/>
              <c:y val="7.6608431758530215E-2"/>
            </c:manualLayout>
          </c:layout>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43033472"/>
        <c:crosses val="autoZero"/>
        <c:crossBetween val="between"/>
        <c:minorUnit val="5"/>
      </c:valAx>
      <c:spPr>
        <a:noFill/>
        <a:ln>
          <a:noFill/>
        </a:ln>
        <a:effectLst/>
      </c:spPr>
    </c:plotArea>
    <c:legend>
      <c:legendPos val="r"/>
      <c:layout>
        <c:manualLayout>
          <c:xMode val="edge"/>
          <c:yMode val="edge"/>
          <c:x val="0.8473803755299818"/>
          <c:y val="2.70442156268928E-3"/>
          <c:w val="0.14928739335558008"/>
          <c:h val="0.18237898541370853"/>
        </c:manualLayout>
      </c:layout>
      <c:overlay val="1"/>
      <c:spPr>
        <a:solidFill>
          <a:schemeClr val="bg1"/>
        </a:solidFill>
        <a:ln>
          <a:solidFill>
            <a:schemeClr val="bg1">
              <a:lumMod val="85000"/>
            </a:schemeClr>
          </a:solid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'9.10 Per Gapita GDP Growth'!$B$3</c:f>
              <c:strCache>
                <c:ptCount val="1"/>
                <c:pt idx="0">
                  <c:v>U.S./NATO</c:v>
                </c:pt>
              </c:strCache>
            </c:strRef>
          </c:tx>
          <c:spPr>
            <a:solidFill>
              <a:schemeClr val="bg1">
                <a:lumMod val="95000"/>
              </a:schemeClr>
            </a:solidFill>
            <a:ln w="952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'9.10 Per Gapita GDP Growth'!$A$4:$A$25</c:f>
              <c:strCache>
                <c:ptCount val="22"/>
                <c:pt idx="0">
                  <c:v>Germany</c:v>
                </c:pt>
                <c:pt idx="1">
                  <c:v>Japan</c:v>
                </c:pt>
                <c:pt idx="2">
                  <c:v>Haiti</c:v>
                </c:pt>
                <c:pt idx="3">
                  <c:v>Bosnia (I)</c:v>
                </c:pt>
                <c:pt idx="4">
                  <c:v>Kosovo</c:v>
                </c:pt>
                <c:pt idx="5">
                  <c:v>Afghanistan</c:v>
                </c:pt>
                <c:pt idx="6">
                  <c:v>Iraq</c:v>
                </c:pt>
                <c:pt idx="7">
                  <c:v>Belgian Congo</c:v>
                </c:pt>
                <c:pt idx="8">
                  <c:v>Namibia</c:v>
                </c:pt>
                <c:pt idx="9">
                  <c:v>El Salvador</c:v>
                </c:pt>
                <c:pt idx="10">
                  <c:v>Cambodia</c:v>
                </c:pt>
                <c:pt idx="11">
                  <c:v>Mozambique</c:v>
                </c:pt>
                <c:pt idx="12">
                  <c:v>East Timor</c:v>
                </c:pt>
                <c:pt idx="13">
                  <c:v>Albania</c:v>
                </c:pt>
                <c:pt idx="14">
                  <c:v>Sierra Leone</c:v>
                </c:pt>
                <c:pt idx="15">
                  <c:v>Macedonia</c:v>
                </c:pt>
                <c:pt idx="16">
                  <c:v>Cote d'Ivoire</c:v>
                </c:pt>
                <c:pt idx="17">
                  <c:v>DR Congo</c:v>
                </c:pt>
                <c:pt idx="18">
                  <c:v>Bosnia (II)</c:v>
                </c:pt>
                <c:pt idx="19">
                  <c:v>Burundi</c:v>
                </c:pt>
                <c:pt idx="20">
                  <c:v>CAR</c:v>
                </c:pt>
                <c:pt idx="21">
                  <c:v>Comoros</c:v>
                </c:pt>
              </c:strCache>
            </c:strRef>
          </c:cat>
          <c:val>
            <c:numRef>
              <c:f>'9.10 Per Gapita GDP Growth'!$B$4:$B$25</c:f>
              <c:numCache>
                <c:formatCode>0.0</c:formatCode>
                <c:ptCount val="22"/>
                <c:pt idx="0">
                  <c:v>14.4</c:v>
                </c:pt>
                <c:pt idx="1">
                  <c:v>6.4</c:v>
                </c:pt>
                <c:pt idx="2">
                  <c:v>1.5</c:v>
                </c:pt>
                <c:pt idx="3">
                  <c:v>20.3</c:v>
                </c:pt>
                <c:pt idx="4">
                  <c:v>7.2</c:v>
                </c:pt>
                <c:pt idx="5">
                  <c:v>8.3000000000000007</c:v>
                </c:pt>
                <c:pt idx="6">
                  <c:v>13.4</c:v>
                </c:pt>
              </c:numCache>
            </c:numRef>
          </c:val>
          <c:extLst>
            <c:ext xmlns:c16="http://schemas.microsoft.com/office/drawing/2014/chart" uri="{C3380CC4-5D6E-409C-BE32-E72D297353CC}">
              <c16:uniqueId val="{00000000-6BDB-4278-AA6E-8F8AF34F7A41}"/>
            </c:ext>
          </c:extLst>
        </c:ser>
        <c:ser>
          <c:idx val="1"/>
          <c:order val="1"/>
          <c:tx>
            <c:strRef>
              <c:f>'9.10 Per Gapita GDP Growth'!$C$3</c:f>
              <c:strCache>
                <c:ptCount val="1"/>
                <c:pt idx="0">
                  <c:v>UN</c:v>
                </c:pt>
              </c:strCache>
            </c:strRef>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'9.10 Per Gapita GDP Growth'!$A$4:$A$25</c:f>
              <c:strCache>
                <c:ptCount val="22"/>
                <c:pt idx="0">
                  <c:v>Germany</c:v>
                </c:pt>
                <c:pt idx="1">
                  <c:v>Japan</c:v>
                </c:pt>
                <c:pt idx="2">
                  <c:v>Haiti</c:v>
                </c:pt>
                <c:pt idx="3">
                  <c:v>Bosnia (I)</c:v>
                </c:pt>
                <c:pt idx="4">
                  <c:v>Kosovo</c:v>
                </c:pt>
                <c:pt idx="5">
                  <c:v>Afghanistan</c:v>
                </c:pt>
                <c:pt idx="6">
                  <c:v>Iraq</c:v>
                </c:pt>
                <c:pt idx="7">
                  <c:v>Belgian Congo</c:v>
                </c:pt>
                <c:pt idx="8">
                  <c:v>Namibia</c:v>
                </c:pt>
                <c:pt idx="9">
                  <c:v>El Salvador</c:v>
                </c:pt>
                <c:pt idx="10">
                  <c:v>Cambodia</c:v>
                </c:pt>
                <c:pt idx="11">
                  <c:v>Mozambique</c:v>
                </c:pt>
                <c:pt idx="12">
                  <c:v>East Timor</c:v>
                </c:pt>
                <c:pt idx="13">
                  <c:v>Albania</c:v>
                </c:pt>
                <c:pt idx="14">
                  <c:v>Sierra Leone</c:v>
                </c:pt>
                <c:pt idx="15">
                  <c:v>Macedonia</c:v>
                </c:pt>
                <c:pt idx="16">
                  <c:v>Cote d'Ivoire</c:v>
                </c:pt>
                <c:pt idx="17">
                  <c:v>DR Congo</c:v>
                </c:pt>
                <c:pt idx="18">
                  <c:v>Bosnia (II)</c:v>
                </c:pt>
                <c:pt idx="19">
                  <c:v>Burundi</c:v>
                </c:pt>
                <c:pt idx="20">
                  <c:v>CAR</c:v>
                </c:pt>
                <c:pt idx="21">
                  <c:v>Comoros</c:v>
                </c:pt>
              </c:strCache>
            </c:strRef>
          </c:cat>
          <c:val>
            <c:numRef>
              <c:f>'9.10 Per Gapita GDP Growth'!$C$4:$C$25</c:f>
              <c:numCache>
                <c:formatCode>General</c:formatCode>
                <c:ptCount val="22"/>
                <c:pt idx="7" formatCode="0.0">
                  <c:v>0.5</c:v>
                </c:pt>
                <c:pt idx="8" formatCode="0.0">
                  <c:v>1.5</c:v>
                </c:pt>
                <c:pt idx="9" formatCode="0.0">
                  <c:v>5.4</c:v>
                </c:pt>
                <c:pt idx="10" formatCode="0.0">
                  <c:v>3.4</c:v>
                </c:pt>
                <c:pt idx="11" formatCode="0.0">
                  <c:v>3.5</c:v>
                </c:pt>
                <c:pt idx="12" formatCode="0.0">
                  <c:v>-2.7</c:v>
                </c:pt>
              </c:numCache>
            </c:numRef>
          </c:val>
          <c:extLst>
            <c:ext xmlns:c16="http://schemas.microsoft.com/office/drawing/2014/chart" uri="{C3380CC4-5D6E-409C-BE32-E72D297353CC}">
              <c16:uniqueId val="{00000001-6BDB-4278-AA6E-8F8AF34F7A41}"/>
            </c:ext>
          </c:extLst>
        </c:ser>
        <c:ser>
          <c:idx val="2"/>
          <c:order val="2"/>
          <c:tx>
            <c:strRef>
              <c:f>'9.10 Per Gapita GDP Growth'!$D$3</c:f>
              <c:strCache>
                <c:ptCount val="1"/>
                <c:pt idx="0">
                  <c:v>European</c:v>
                </c:pt>
              </c:strCache>
            </c:strRef>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'9.10 Per Gapita GDP Growth'!$A$4:$A$25</c:f>
              <c:strCache>
                <c:ptCount val="22"/>
                <c:pt idx="0">
                  <c:v>Germany</c:v>
                </c:pt>
                <c:pt idx="1">
                  <c:v>Japan</c:v>
                </c:pt>
                <c:pt idx="2">
                  <c:v>Haiti</c:v>
                </c:pt>
                <c:pt idx="3">
                  <c:v>Bosnia (I)</c:v>
                </c:pt>
                <c:pt idx="4">
                  <c:v>Kosovo</c:v>
                </c:pt>
                <c:pt idx="5">
                  <c:v>Afghanistan</c:v>
                </c:pt>
                <c:pt idx="6">
                  <c:v>Iraq</c:v>
                </c:pt>
                <c:pt idx="7">
                  <c:v>Belgian Congo</c:v>
                </c:pt>
                <c:pt idx="8">
                  <c:v>Namibia</c:v>
                </c:pt>
                <c:pt idx="9">
                  <c:v>El Salvador</c:v>
                </c:pt>
                <c:pt idx="10">
                  <c:v>Cambodia</c:v>
                </c:pt>
                <c:pt idx="11">
                  <c:v>Mozambique</c:v>
                </c:pt>
                <c:pt idx="12">
                  <c:v>East Timor</c:v>
                </c:pt>
                <c:pt idx="13">
                  <c:v>Albania</c:v>
                </c:pt>
                <c:pt idx="14">
                  <c:v>Sierra Leone</c:v>
                </c:pt>
                <c:pt idx="15">
                  <c:v>Macedonia</c:v>
                </c:pt>
                <c:pt idx="16">
                  <c:v>Cote d'Ivoire</c:v>
                </c:pt>
                <c:pt idx="17">
                  <c:v>DR Congo</c:v>
                </c:pt>
                <c:pt idx="18">
                  <c:v>Bosnia (II)</c:v>
                </c:pt>
                <c:pt idx="19">
                  <c:v>Burundi</c:v>
                </c:pt>
                <c:pt idx="20">
                  <c:v>CAR</c:v>
                </c:pt>
                <c:pt idx="21">
                  <c:v>Comoros</c:v>
                </c:pt>
              </c:strCache>
            </c:strRef>
          </c:cat>
          <c:val>
            <c:numRef>
              <c:f>'9.10 Per Gapita GDP Growth'!$D$4:$D$25</c:f>
              <c:numCache>
                <c:formatCode>General</c:formatCode>
                <c:ptCount val="22"/>
                <c:pt idx="13" formatCode="0.0">
                  <c:v>6.3</c:v>
                </c:pt>
                <c:pt idx="14" formatCode="0.0">
                  <c:v>5.6</c:v>
                </c:pt>
                <c:pt idx="15" formatCode="0.0">
                  <c:v>2.8</c:v>
                </c:pt>
                <c:pt idx="16" formatCode="0.0">
                  <c:v>-0.9</c:v>
                </c:pt>
                <c:pt idx="17" formatCode="0.0">
                  <c:v>3</c:v>
                </c:pt>
                <c:pt idx="18" formatCode="0.0">
                  <c:v>5</c:v>
                </c:pt>
              </c:numCache>
            </c:numRef>
          </c:val>
          <c:extLst>
            <c:ext xmlns:c16="http://schemas.microsoft.com/office/drawing/2014/chart" uri="{C3380CC4-5D6E-409C-BE32-E72D297353CC}">
              <c16:uniqueId val="{00000002-6BDB-4278-AA6E-8F8AF34F7A41}"/>
            </c:ext>
          </c:extLst>
        </c:ser>
        <c:ser>
          <c:idx val="3"/>
          <c:order val="3"/>
          <c:tx>
            <c:strRef>
              <c:f>'9.10 Per Gapita GDP Growth'!$E$3</c:f>
              <c:strCache>
                <c:ptCount val="1"/>
                <c:pt idx="0">
                  <c:v>African</c:v>
                </c:pt>
              </c:strCache>
            </c:strRef>
          </c:tx>
          <c:spPr>
            <a:pattFill prst="wdUpDiag">
              <a:fgClr>
                <a:schemeClr val="tx1"/>
              </a:fgClr>
              <a:bgClr>
                <a:schemeClr val="bg1"/>
              </a:bgClr>
            </a:pattFill>
            <a:ln>
              <a:solidFill>
                <a:schemeClr val="tx1"/>
              </a:solidFill>
            </a:ln>
            <a:effectLst/>
          </c:spPr>
          <c:invertIfNegative val="0"/>
          <c:dLbls>
            <c:dLbl>
              <c:idx val="21"/>
              <c:layout>
                <c:manualLayout>
                  <c:x val="1.8975332068311202E-3"/>
                  <c:y val="6.10781344639612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DB-4278-AA6E-8F8AF34F7A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'9.10 Per Gapita GDP Growth'!$A$4:$A$25</c:f>
              <c:strCache>
                <c:ptCount val="22"/>
                <c:pt idx="0">
                  <c:v>Germany</c:v>
                </c:pt>
                <c:pt idx="1">
                  <c:v>Japan</c:v>
                </c:pt>
                <c:pt idx="2">
                  <c:v>Haiti</c:v>
                </c:pt>
                <c:pt idx="3">
                  <c:v>Bosnia (I)</c:v>
                </c:pt>
                <c:pt idx="4">
                  <c:v>Kosovo</c:v>
                </c:pt>
                <c:pt idx="5">
                  <c:v>Afghanistan</c:v>
                </c:pt>
                <c:pt idx="6">
                  <c:v>Iraq</c:v>
                </c:pt>
                <c:pt idx="7">
                  <c:v>Belgian Congo</c:v>
                </c:pt>
                <c:pt idx="8">
                  <c:v>Namibia</c:v>
                </c:pt>
                <c:pt idx="9">
                  <c:v>El Salvador</c:v>
                </c:pt>
                <c:pt idx="10">
                  <c:v>Cambodia</c:v>
                </c:pt>
                <c:pt idx="11">
                  <c:v>Mozambique</c:v>
                </c:pt>
                <c:pt idx="12">
                  <c:v>East Timor</c:v>
                </c:pt>
                <c:pt idx="13">
                  <c:v>Albania</c:v>
                </c:pt>
                <c:pt idx="14">
                  <c:v>Sierra Leone</c:v>
                </c:pt>
                <c:pt idx="15">
                  <c:v>Macedonia</c:v>
                </c:pt>
                <c:pt idx="16">
                  <c:v>Cote d'Ivoire</c:v>
                </c:pt>
                <c:pt idx="17">
                  <c:v>DR Congo</c:v>
                </c:pt>
                <c:pt idx="18">
                  <c:v>Bosnia (II)</c:v>
                </c:pt>
                <c:pt idx="19">
                  <c:v>Burundi</c:v>
                </c:pt>
                <c:pt idx="20">
                  <c:v>CAR</c:v>
                </c:pt>
                <c:pt idx="21">
                  <c:v>Comoros</c:v>
                </c:pt>
              </c:strCache>
            </c:strRef>
          </c:cat>
          <c:val>
            <c:numRef>
              <c:f>'9.10 Per Gapita GDP Growth'!$E$4:$E$25</c:f>
              <c:numCache>
                <c:formatCode>General</c:formatCode>
                <c:ptCount val="22"/>
                <c:pt idx="19" formatCode="0.0">
                  <c:v>-0.3000000000000001</c:v>
                </c:pt>
                <c:pt idx="20" formatCode="0.0">
                  <c:v>0.4</c:v>
                </c:pt>
                <c:pt idx="21" formatCode="0.0">
                  <c:v>-0.8</c:v>
                </c:pt>
              </c:numCache>
            </c:numRef>
          </c:val>
          <c:extLst>
            <c:ext xmlns:c16="http://schemas.microsoft.com/office/drawing/2014/chart" uri="{C3380CC4-5D6E-409C-BE32-E72D297353CC}">
              <c16:uniqueId val="{00000004-6BDB-4278-AA6E-8F8AF34F7A41}"/>
            </c:ext>
          </c:extLst>
        </c:ser>
        <c:dLbls>
          <c:showLegendKey val="0"/>
          <c:showVal val="0"/>
          <c:showCatName val="0"/>
          <c:showSerName val="0"/>
          <c:showPercent val="0"/>
          <c:showBubbleSize val="0"/>
        </c:dLbls>
        <c:gapWidth val="65"/>
        <c:overlap val="100"/>
        <c:axId val="150946176"/>
        <c:axId val="150947712"/>
      </c:barChart>
      <c:catAx>
        <c:axId val="15094617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50947712"/>
        <c:crosses val="autoZero"/>
        <c:auto val="1"/>
        <c:lblAlgn val="ctr"/>
        <c:lblOffset val="100"/>
        <c:noMultiLvlLbl val="0"/>
      </c:catAx>
      <c:valAx>
        <c:axId val="150947712"/>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Average annual economic growth (percent)</a:t>
                </a:r>
              </a:p>
            </c:rich>
          </c:tx>
          <c:layout>
            <c:manualLayout>
              <c:xMode val="edge"/>
              <c:yMode val="edge"/>
              <c:x val="9.4876660341556042E-3"/>
              <c:y val="7.6545850999394288E-2"/>
            </c:manualLayout>
          </c:layout>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50946176"/>
        <c:crosses val="autoZero"/>
        <c:crossBetween val="between"/>
      </c:valAx>
      <c:spPr>
        <a:noFill/>
        <a:ln>
          <a:solidFill>
            <a:schemeClr val="tx1"/>
          </a:solidFill>
        </a:ln>
        <a:effectLst/>
      </c:spPr>
    </c:plotArea>
    <c:legend>
      <c:legendPos val="tr"/>
      <c:layout>
        <c:manualLayout>
          <c:xMode val="edge"/>
          <c:yMode val="edge"/>
          <c:x val="0.80421879902583349"/>
          <c:y val="6.1538461538461556E-2"/>
          <c:w val="0.14454780438972648"/>
          <c:h val="0.18307837674136893"/>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13052223612241"/>
          <c:y val="3.7781456953642385E-2"/>
          <c:w val="0.86002420258215406"/>
          <c:h val="0.67734447515252683"/>
        </c:manualLayout>
      </c:layout>
      <c:barChart>
        <c:barDir val="col"/>
        <c:grouping val="clustered"/>
        <c:varyColors val="0"/>
        <c:ser>
          <c:idx val="0"/>
          <c:order val="0"/>
          <c:tx>
            <c:strRef>
              <c:f>'9.9 Per Capita Assistance'!$B$4</c:f>
              <c:strCache>
                <c:ptCount val="1"/>
                <c:pt idx="0">
                  <c:v>U.S./NATO</c:v>
                </c:pt>
              </c:strCache>
            </c:strRef>
          </c:tx>
          <c:spPr>
            <a:solidFill>
              <a:schemeClr val="bg1">
                <a:lumMod val="95000"/>
              </a:schemeClr>
            </a:solidFill>
            <a:ln>
              <a:solidFill>
                <a:schemeClr val="tx1"/>
              </a:solidFill>
            </a:ln>
            <a:effectLst/>
          </c:spPr>
          <c:invertIfNegative val="0"/>
          <c:dLbls>
            <c:dLbl>
              <c:idx val="5"/>
              <c:layout>
                <c:manualLayout>
                  <c:x val="-3.8075018790340243E-17"/>
                  <c:y val="1.32450331125827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14-46B4-A577-D9E48CEF943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'9.9 Per Capita Assistance'!$A$5:$A$29</c:f>
              <c:strCache>
                <c:ptCount val="25"/>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Comoros</c:v>
                </c:pt>
                <c:pt idx="24">
                  <c:v>Somalia (II)</c:v>
                </c:pt>
              </c:strCache>
            </c:strRef>
          </c:cat>
          <c:val>
            <c:numRef>
              <c:f>'9.9 Per Capita Assistance'!$B$5:$B$29</c:f>
              <c:numCache>
                <c:formatCode>0_ ;[Red]\-0\ </c:formatCode>
                <c:ptCount val="25"/>
                <c:pt idx="0">
                  <c:v>129</c:v>
                </c:pt>
                <c:pt idx="1">
                  <c:v>26</c:v>
                </c:pt>
                <c:pt idx="2">
                  <c:v>137</c:v>
                </c:pt>
                <c:pt idx="3">
                  <c:v>99</c:v>
                </c:pt>
                <c:pt idx="4">
                  <c:v>277</c:v>
                </c:pt>
                <c:pt idx="5">
                  <c:v>577</c:v>
                </c:pt>
                <c:pt idx="6">
                  <c:v>60</c:v>
                </c:pt>
                <c:pt idx="7">
                  <c:v>117</c:v>
                </c:pt>
              </c:numCache>
            </c:numRef>
          </c:val>
          <c:extLst>
            <c:ext xmlns:c16="http://schemas.microsoft.com/office/drawing/2014/chart" uri="{C3380CC4-5D6E-409C-BE32-E72D297353CC}">
              <c16:uniqueId val="{00000001-E414-46B4-A577-D9E48CEF9436}"/>
            </c:ext>
          </c:extLst>
        </c:ser>
        <c:ser>
          <c:idx val="1"/>
          <c:order val="1"/>
          <c:tx>
            <c:strRef>
              <c:f>'9.9 Per Capita Assistance'!$C$4</c:f>
              <c:strCache>
                <c:ptCount val="1"/>
                <c:pt idx="0">
                  <c:v>UN</c:v>
                </c:pt>
              </c:strCache>
            </c:strRef>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'9.9 Per Capita Assistance'!$A$5:$A$29</c:f>
              <c:strCache>
                <c:ptCount val="25"/>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Comoros</c:v>
                </c:pt>
                <c:pt idx="24">
                  <c:v>Somalia (II)</c:v>
                </c:pt>
              </c:strCache>
            </c:strRef>
          </c:cat>
          <c:val>
            <c:numRef>
              <c:f>'9.9 Per Capita Assistance'!$C$5:$C$29</c:f>
              <c:numCache>
                <c:formatCode>General</c:formatCode>
                <c:ptCount val="25"/>
                <c:pt idx="8" formatCode="0_ ;[Red]\-0\ ">
                  <c:v>20</c:v>
                </c:pt>
                <c:pt idx="9" formatCode="0_ ;[Red]\-0\ ">
                  <c:v>80</c:v>
                </c:pt>
                <c:pt idx="10" formatCode="0_ ;[Red]\-0\ ">
                  <c:v>78</c:v>
                </c:pt>
                <c:pt idx="11" formatCode="0_ ;[Red]\-0\ ">
                  <c:v>16</c:v>
                </c:pt>
                <c:pt idx="12" formatCode="0_ ;[Red]\-0\ ">
                  <c:v>104</c:v>
                </c:pt>
                <c:pt idx="13" formatCode="0_ ;[Red]\-0\ ">
                  <c:v>310</c:v>
                </c:pt>
                <c:pt idx="14" formatCode="0_ ;[Red]\-0\ ">
                  <c:v>240</c:v>
                </c:pt>
              </c:numCache>
            </c:numRef>
          </c:val>
          <c:extLst>
            <c:ext xmlns:c16="http://schemas.microsoft.com/office/drawing/2014/chart" uri="{C3380CC4-5D6E-409C-BE32-E72D297353CC}">
              <c16:uniqueId val="{00000002-E414-46B4-A577-D9E48CEF9436}"/>
            </c:ext>
          </c:extLst>
        </c:ser>
        <c:ser>
          <c:idx val="2"/>
          <c:order val="2"/>
          <c:tx>
            <c:strRef>
              <c:f>'9.9 Per Capita Assistance'!$D$4</c:f>
              <c:strCache>
                <c:ptCount val="1"/>
                <c:pt idx="0">
                  <c:v>European</c:v>
                </c:pt>
              </c:strCache>
            </c:strRef>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'9.9 Per Capita Assistance'!$A$5:$A$29</c:f>
              <c:strCache>
                <c:ptCount val="25"/>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Comoros</c:v>
                </c:pt>
                <c:pt idx="24">
                  <c:v>Somalia (II)</c:v>
                </c:pt>
              </c:strCache>
            </c:strRef>
          </c:cat>
          <c:val>
            <c:numRef>
              <c:f>'9.9 Per Capita Assistance'!$D$5:$D$29</c:f>
              <c:numCache>
                <c:formatCode>General</c:formatCode>
                <c:ptCount val="25"/>
                <c:pt idx="15" formatCode="0_ ;[Red]\-0\ ">
                  <c:v>74</c:v>
                </c:pt>
                <c:pt idx="16" formatCode="0_ ;[Red]\-0\ ">
                  <c:v>21</c:v>
                </c:pt>
                <c:pt idx="17" formatCode="0_ ;[Red]\-0\ ">
                  <c:v>125</c:v>
                </c:pt>
                <c:pt idx="18" formatCode="0_ ;[Red]\-0\ ">
                  <c:v>36</c:v>
                </c:pt>
                <c:pt idx="19" formatCode="0_ ;[Red]\-0\ ">
                  <c:v>62</c:v>
                </c:pt>
                <c:pt idx="20" formatCode="0_ ;[Red]\-0\ ">
                  <c:v>142</c:v>
                </c:pt>
              </c:numCache>
            </c:numRef>
          </c:val>
          <c:extLst>
            <c:ext xmlns:c16="http://schemas.microsoft.com/office/drawing/2014/chart" uri="{C3380CC4-5D6E-409C-BE32-E72D297353CC}">
              <c16:uniqueId val="{00000003-E414-46B4-A577-D9E48CEF9436}"/>
            </c:ext>
          </c:extLst>
        </c:ser>
        <c:ser>
          <c:idx val="3"/>
          <c:order val="3"/>
          <c:tx>
            <c:strRef>
              <c:f>'9.9 Per Capita Assistance'!$E$4</c:f>
              <c:strCache>
                <c:ptCount val="1"/>
                <c:pt idx="0">
                  <c:v>African</c:v>
                </c:pt>
              </c:strCache>
            </c:strRef>
          </c:tx>
          <c:spPr>
            <a:pattFill prst="wdUpDiag">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'9.9 Per Capita Assistance'!$A$5:$A$29</c:f>
              <c:strCache>
                <c:ptCount val="25"/>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Comoros</c:v>
                </c:pt>
                <c:pt idx="24">
                  <c:v>Somalia (II)</c:v>
                </c:pt>
              </c:strCache>
            </c:strRef>
          </c:cat>
          <c:val>
            <c:numRef>
              <c:f>'9.9 Per Capita Assistance'!$E$5:$E$29</c:f>
              <c:numCache>
                <c:formatCode>General</c:formatCode>
                <c:ptCount val="25"/>
                <c:pt idx="21" formatCode="0_ ;[Red]\-0\ ">
                  <c:v>23</c:v>
                </c:pt>
                <c:pt idx="22" formatCode="0_ ;[Red]\-0\ ">
                  <c:v>13</c:v>
                </c:pt>
                <c:pt idx="23" formatCode="0_ ;[Red]\-0\ ">
                  <c:v>52</c:v>
                </c:pt>
                <c:pt idx="24" formatCode="0_ ;[Red]\-0\ ">
                  <c:v>43</c:v>
                </c:pt>
              </c:numCache>
            </c:numRef>
          </c:val>
          <c:extLst>
            <c:ext xmlns:c16="http://schemas.microsoft.com/office/drawing/2014/chart" uri="{C3380CC4-5D6E-409C-BE32-E72D297353CC}">
              <c16:uniqueId val="{00000004-E414-46B4-A577-D9E48CEF9436}"/>
            </c:ext>
          </c:extLst>
        </c:ser>
        <c:dLbls>
          <c:showLegendKey val="0"/>
          <c:showVal val="0"/>
          <c:showCatName val="0"/>
          <c:showSerName val="0"/>
          <c:showPercent val="0"/>
          <c:showBubbleSize val="0"/>
        </c:dLbls>
        <c:gapWidth val="65"/>
        <c:overlap val="100"/>
        <c:axId val="147172352"/>
        <c:axId val="149951232"/>
      </c:barChart>
      <c:catAx>
        <c:axId val="1471723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050" b="0" i="0" u="none" strike="noStrike" kern="1200" baseline="0">
                <a:solidFill>
                  <a:schemeClr val="tx1"/>
                </a:solidFill>
                <a:latin typeface="+mj-lt"/>
                <a:ea typeface="+mn-ea"/>
                <a:cs typeface="+mn-cs"/>
              </a:defRPr>
            </a:pPr>
            <a:endParaRPr lang="en-US"/>
          </a:p>
        </c:txPr>
        <c:crossAx val="149951232"/>
        <c:crosses val="autoZero"/>
        <c:auto val="1"/>
        <c:lblAlgn val="ctr"/>
        <c:lblOffset val="100"/>
        <c:noMultiLvlLbl val="0"/>
      </c:catAx>
      <c:valAx>
        <c:axId val="149951232"/>
        <c:scaling>
          <c:orientation val="minMax"/>
          <c:max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mj-lt"/>
                    <a:ea typeface="+mn-ea"/>
                    <a:cs typeface="+mn-cs"/>
                  </a:defRPr>
                </a:pPr>
                <a:r>
                  <a:rPr lang="en-US"/>
                  <a:t>Average annual per capita assistance (2000 US$)</a:t>
                </a:r>
              </a:p>
            </c:rich>
          </c:tx>
          <c:layout>
            <c:manualLayout>
              <c:xMode val="edge"/>
              <c:yMode val="edge"/>
              <c:x val="1.0384215991692628E-2"/>
              <c:y val="2.7847682119205314E-2"/>
            </c:manualLayout>
          </c:layout>
          <c:overlay val="0"/>
          <c:spPr>
            <a:noFill/>
            <a:ln>
              <a:noFill/>
            </a:ln>
            <a:effectLst/>
          </c:spPr>
        </c:title>
        <c:numFmt formatCode="0_ ;[Red]\-0\ "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solidFill>
                <a:latin typeface="+mj-lt"/>
                <a:ea typeface="+mn-ea"/>
                <a:cs typeface="+mn-cs"/>
              </a:defRPr>
            </a:pPr>
            <a:endParaRPr lang="en-US"/>
          </a:p>
        </c:txPr>
        <c:crossAx val="147172352"/>
        <c:crosses val="autoZero"/>
        <c:crossBetween val="between"/>
      </c:valAx>
      <c:spPr>
        <a:noFill/>
        <a:ln>
          <a:noFill/>
        </a:ln>
        <a:effectLst/>
      </c:spPr>
    </c:plotArea>
    <c:legend>
      <c:legendPos val="tr"/>
      <c:layout>
        <c:manualLayout>
          <c:xMode val="edge"/>
          <c:yMode val="edge"/>
          <c:x val="0.77325712790574053"/>
          <c:y val="5.9602649006622523E-2"/>
          <c:w val="0.18520600812748886"/>
          <c:h val="0.21026646503624144"/>
        </c:manualLayout>
      </c:layout>
      <c:overlay val="1"/>
      <c:spPr>
        <a:solidFill>
          <a:schemeClr val="bg1"/>
        </a:solidFill>
        <a:ln>
          <a:solidFill>
            <a:schemeClr val="tx1"/>
          </a:solidFill>
        </a:ln>
        <a:effectLst/>
      </c:spPr>
      <c:txPr>
        <a:bodyPr rot="0" spcFirstLastPara="1" vertOverflow="ellipsis" vert="horz" wrap="square" anchor="ctr" anchorCtr="1"/>
        <a:lstStyle/>
        <a:p>
          <a:pPr>
            <a:defRPr sz="105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chemeClr val="tx1"/>
          </a:solidFill>
          <a:latin typeface="+mj-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1847438948426"/>
          <c:y val="4.6070519689972479E-2"/>
          <c:w val="0.88858667007394831"/>
          <c:h val="0.66812502982581745"/>
        </c:manualLayout>
      </c:layout>
      <c:barChart>
        <c:barDir val="col"/>
        <c:grouping val="stacked"/>
        <c:varyColors val="0"/>
        <c:ser>
          <c:idx val="0"/>
          <c:order val="0"/>
          <c:tx>
            <c:strRef>
              <c:f>'9.1 Peak Military'!$B$3</c:f>
              <c:strCache>
                <c:ptCount val="1"/>
                <c:pt idx="0">
                  <c:v>U.S./NATO</c:v>
                </c:pt>
              </c:strCache>
            </c:strRef>
          </c:tx>
          <c:spPr>
            <a:solidFill>
              <a:schemeClr val="bg1">
                <a:lumMod val="95000"/>
              </a:schemeClr>
            </a:solidFill>
            <a:ln>
              <a:solidFill>
                <a:schemeClr val="tx1"/>
              </a:solidFill>
            </a:ln>
            <a:effectLst/>
          </c:spPr>
          <c:invertIfNegative val="0"/>
          <c:dLbls>
            <c:dLbl>
              <c:idx val="0"/>
              <c:layout>
                <c:manualLayout>
                  <c:x val="-1.0262573669163584E-2"/>
                  <c:y val="1.478406108327368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22-4775-B2E4-165C2622C4CE}"/>
                </c:ext>
              </c:extLst>
            </c:dLbl>
            <c:dLbl>
              <c:idx val="1"/>
              <c:layout>
                <c:manualLayout>
                  <c:x val="4.8341505486256396E-2"/>
                  <c:y val="1.478406108327369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22-4775-B2E4-165C2622C4CE}"/>
                </c:ext>
              </c:extLst>
            </c:dLbl>
            <c:dLbl>
              <c:idx val="2"/>
              <c:layout>
                <c:manualLayout>
                  <c:x val="0"/>
                  <c:y val="-0.184213794525055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22-4775-B2E4-165C2622C4CE}"/>
                </c:ext>
              </c:extLst>
            </c:dLbl>
            <c:dLbl>
              <c:idx val="3"/>
              <c:layout>
                <c:manualLayout>
                  <c:x val="0"/>
                  <c:y val="-0.1098360452843974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22-4775-B2E4-165C2622C4CE}"/>
                </c:ext>
              </c:extLst>
            </c:dLbl>
            <c:dLbl>
              <c:idx val="4"/>
              <c:layout>
                <c:manualLayout>
                  <c:x val="-4.3390139112935832E-3"/>
                  <c:y val="-0.26854593175853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22-4775-B2E4-165C2622C4CE}"/>
                </c:ext>
              </c:extLst>
            </c:dLbl>
            <c:dLbl>
              <c:idx val="6"/>
              <c:layout>
                <c:manualLayout>
                  <c:x val="-3.718685912281708E-17"/>
                  <c:y val="-0.2044824624194704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22-4775-B2E4-165C2622C4CE}"/>
                </c:ext>
              </c:extLst>
            </c:dLbl>
            <c:dLbl>
              <c:idx val="7"/>
              <c:layout>
                <c:manualLayout>
                  <c:x val="-8.7310906575954993E-3"/>
                  <c:y val="-0.14446170043962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22-4775-B2E4-165C2622C4CE}"/>
                </c:ext>
              </c:extLst>
            </c:dLbl>
            <c:dLbl>
              <c:idx val="8"/>
              <c:layout>
                <c:manualLayout>
                  <c:x val="3.2343358195844198E-2"/>
                  <c:y val="1.158196134574087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22-4775-B2E4-165C2622C4CE}"/>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 Peak Military'!$A$4:$A$36</c:f>
              <c:strCache>
                <c:ptCount val="33"/>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pt idx="32">
                  <c:v>Lake Chad Basin (2016)</c:v>
                </c:pt>
              </c:strCache>
            </c:strRef>
          </c:cat>
          <c:val>
            <c:numRef>
              <c:f>'9.1 Peak Military'!$B$4:$B$36</c:f>
              <c:numCache>
                <c:formatCode>#\,##0</c:formatCode>
                <c:ptCount val="33"/>
                <c:pt idx="0">
                  <c:v>1622000</c:v>
                </c:pt>
                <c:pt idx="1">
                  <c:v>354675</c:v>
                </c:pt>
                <c:pt idx="2">
                  <c:v>37000</c:v>
                </c:pt>
                <c:pt idx="3">
                  <c:v>21000</c:v>
                </c:pt>
                <c:pt idx="4">
                  <c:v>60000</c:v>
                </c:pt>
                <c:pt idx="6">
                  <c:v>43728</c:v>
                </c:pt>
                <c:pt idx="7">
                  <c:v>132000</c:v>
                </c:pt>
                <c:pt idx="8">
                  <c:v>183000</c:v>
                </c:pt>
              </c:numCache>
            </c:numRef>
          </c:val>
          <c:extLst>
            <c:ext xmlns:c16="http://schemas.microsoft.com/office/drawing/2014/chart" uri="{C3380CC4-5D6E-409C-BE32-E72D297353CC}">
              <c16:uniqueId val="{00000008-0E22-4775-B2E4-165C2622C4CE}"/>
            </c:ext>
          </c:extLst>
        </c:ser>
        <c:ser>
          <c:idx val="1"/>
          <c:order val="1"/>
          <c:tx>
            <c:strRef>
              <c:f>'9.1 Peak Military'!$C$3</c:f>
              <c:strCache>
                <c:ptCount val="1"/>
                <c:pt idx="0">
                  <c:v>UN</c:v>
                </c:pt>
              </c:strCache>
            </c:strRef>
          </c:tx>
          <c:spPr>
            <a:solidFill>
              <a:schemeClr val="bg1">
                <a:lumMod val="65000"/>
              </a:schemeClr>
            </a:solidFill>
            <a:ln>
              <a:solidFill>
                <a:schemeClr val="tx1"/>
              </a:solidFill>
            </a:ln>
            <a:effectLst/>
          </c:spPr>
          <c:invertIfNegative val="0"/>
          <c:dLbls>
            <c:dLbl>
              <c:idx val="9"/>
              <c:layout>
                <c:manualLayout>
                  <c:x val="0"/>
                  <c:y val="-0.10912994361856099"/>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0E22-4775-B2E4-165C2622C4CE}"/>
                </c:ext>
              </c:extLst>
            </c:dLbl>
            <c:dLbl>
              <c:idx val="10"/>
              <c:layout>
                <c:manualLayout>
                  <c:x val="3.4924362630381353E-3"/>
                  <c:y val="-3.8598517293195862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0E22-4775-B2E4-165C2622C4CE}"/>
                </c:ext>
              </c:extLst>
            </c:dLbl>
            <c:dLbl>
              <c:idx val="11"/>
              <c:layout>
                <c:manualLayout>
                  <c:x val="0"/>
                  <c:y val="-1.962616942086861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0E22-4775-B2E4-165C2622C4CE}"/>
                </c:ext>
              </c:extLst>
            </c:dLbl>
            <c:dLbl>
              <c:idx val="12"/>
              <c:layout>
                <c:manualLayout>
                  <c:x val="0"/>
                  <c:y val="-8.982897786609223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0E22-4775-B2E4-165C2622C4CE}"/>
                </c:ext>
              </c:extLst>
            </c:dLbl>
            <c:dLbl>
              <c:idx val="13"/>
              <c:layout>
                <c:manualLayout>
                  <c:x val="-2.8060909319233456E-3"/>
                  <c:y val="-5.0277722192554893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0E22-4775-B2E4-165C2622C4CE}"/>
                </c:ext>
              </c:extLst>
            </c:dLbl>
            <c:dLbl>
              <c:idx val="14"/>
              <c:layout>
                <c:manualLayout>
                  <c:x val="0"/>
                  <c:y val="-2.9607969458363182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0E22-4775-B2E4-165C2622C4CE}"/>
                </c:ext>
              </c:extLst>
            </c:dLbl>
            <c:dLbl>
              <c:idx val="15"/>
              <c:layout>
                <c:manualLayout>
                  <c:x val="0"/>
                  <c:y val="-5.7148890479599118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0E22-4775-B2E4-165C2622C4CE}"/>
                </c:ext>
              </c:extLst>
            </c:dLbl>
            <c:dLbl>
              <c:idx val="18"/>
              <c:layout>
                <c:manualLayout>
                  <c:x val="5.1101244190317999E-4"/>
                  <c:y val="-9.213886900501074E-2"/>
                </c:manualLayout>
              </c:layout>
              <c:dLblPos val="ctr"/>
              <c:showLegendKey val="0"/>
              <c:showVal val="1"/>
              <c:showCatName val="0"/>
              <c:showSerName val="0"/>
              <c:showPercent val="0"/>
              <c:showBubbleSize val="0"/>
              <c:separator>, </c:separator>
              <c:extLst>
                <c:ext xmlns:c15="http://schemas.microsoft.com/office/drawing/2012/chart" uri="{CE6537A1-D6FC-4f65-9D91-7224C49458BB}">
                  <c15:layout>
                    <c:manualLayout>
                      <c:w val="7.5352733545223677E-2"/>
                      <c:h val="4.5047959914101647E-2"/>
                    </c:manualLayout>
                  </c15:layout>
                </c:ext>
                <c:ext xmlns:c16="http://schemas.microsoft.com/office/drawing/2014/chart" uri="{C3380CC4-5D6E-409C-BE32-E72D297353CC}">
                  <c16:uniqueId val="{00000010-0E22-4775-B2E4-165C2622C4CE}"/>
                </c:ext>
              </c:extLst>
            </c:dLbl>
            <c:dLbl>
              <c:idx val="21"/>
              <c:layout>
                <c:manualLayout>
                  <c:x val="1.5174517707227245E-3"/>
                  <c:y val="-6.1446799810707761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0E22-4775-B2E4-165C2622C4CE}"/>
                </c:ext>
              </c:extLst>
            </c:dLbl>
            <c:dLbl>
              <c:idx val="23"/>
              <c:layout>
                <c:manualLayout>
                  <c:x val="1.5174517707228356E-3"/>
                  <c:y val="-0.1045927076660641"/>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0E22-4775-B2E4-165C2622C4CE}"/>
                </c:ext>
              </c:extLst>
            </c:dLbl>
            <c:dLbl>
              <c:idx val="24"/>
              <c:layout>
                <c:manualLayout>
                  <c:x val="-3.4924362630381995E-3"/>
                  <c:y val="-2.7536898026457597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0E22-4775-B2E4-165C2622C4CE}"/>
                </c:ext>
              </c:extLst>
            </c:dLbl>
            <c:dLbl>
              <c:idx val="25"/>
              <c:layout>
                <c:manualLayout>
                  <c:x val="-1.1127851102081971E-16"/>
                  <c:y val="-6.0572171261426729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0E22-4775-B2E4-165C2622C4CE}"/>
                </c:ext>
              </c:extLst>
            </c:dLbl>
            <c:dLbl>
              <c:idx val="27"/>
              <c:layout>
                <c:manualLayout>
                  <c:x val="-1.1127851102081971E-16"/>
                  <c:y val="-3.8366631184217848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5-0E22-4775-B2E4-165C2622C4CE}"/>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 Peak Military'!$A$4:$A$36</c:f>
              <c:strCache>
                <c:ptCount val="33"/>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pt idx="32">
                  <c:v>Lake Chad Basin (2016)</c:v>
                </c:pt>
              </c:strCache>
            </c:strRef>
          </c:cat>
          <c:val>
            <c:numRef>
              <c:f>'9.1 Peak Military'!$C$4:$C$36</c:f>
              <c:numCache>
                <c:formatCode>General</c:formatCode>
                <c:ptCount val="33"/>
                <c:pt idx="9" formatCode="#\,##0">
                  <c:v>19828</c:v>
                </c:pt>
                <c:pt idx="10" formatCode="#\,##0">
                  <c:v>4493</c:v>
                </c:pt>
                <c:pt idx="11" formatCode="#\,##0">
                  <c:v>368</c:v>
                </c:pt>
                <c:pt idx="12" formatCode="#\,##0">
                  <c:v>15991</c:v>
                </c:pt>
                <c:pt idx="13" formatCode="#\,##0">
                  <c:v>6576</c:v>
                </c:pt>
                <c:pt idx="14" formatCode="#\,##0">
                  <c:v>5104</c:v>
                </c:pt>
                <c:pt idx="15" formatCode="#\,##0">
                  <c:v>8387</c:v>
                </c:pt>
                <c:pt idx="18" formatCode="#\,##0">
                  <c:v>17368</c:v>
                </c:pt>
                <c:pt idx="21" formatCode="#\,##0">
                  <c:v>9417</c:v>
                </c:pt>
                <c:pt idx="23" formatCode="#\,##0">
                  <c:v>19567</c:v>
                </c:pt>
                <c:pt idx="25" formatCode="#\,##0">
                  <c:v>10337</c:v>
                </c:pt>
                <c:pt idx="27" formatCode="#\,##0">
                  <c:v>5400</c:v>
                </c:pt>
              </c:numCache>
            </c:numRef>
          </c:val>
          <c:extLst>
            <c:ext xmlns:c16="http://schemas.microsoft.com/office/drawing/2014/chart" uri="{C3380CC4-5D6E-409C-BE32-E72D297353CC}">
              <c16:uniqueId val="{00000016-0E22-4775-B2E4-165C2622C4CE}"/>
            </c:ext>
          </c:extLst>
        </c:ser>
        <c:ser>
          <c:idx val="2"/>
          <c:order val="2"/>
          <c:tx>
            <c:strRef>
              <c:f>'9.1 Peak Military'!$D$3</c:f>
              <c:strCache>
                <c:ptCount val="1"/>
                <c:pt idx="0">
                  <c:v>European</c:v>
                </c:pt>
              </c:strCache>
            </c:strRef>
          </c:tx>
          <c:spPr>
            <a:solidFill>
              <a:schemeClr val="tx1"/>
            </a:solidFill>
            <a:ln>
              <a:solidFill>
                <a:schemeClr val="tx1"/>
              </a:solidFill>
            </a:ln>
            <a:effectLst/>
          </c:spPr>
          <c:invertIfNegative val="0"/>
          <c:dLbls>
            <c:dLbl>
              <c:idx val="5"/>
              <c:layout>
                <c:manualLayout>
                  <c:x val="0"/>
                  <c:y val="-3.87299644452525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E22-4775-B2E4-165C2622C4CE}"/>
                </c:ext>
              </c:extLst>
            </c:dLbl>
            <c:dLbl>
              <c:idx val="16"/>
              <c:layout>
                <c:manualLayout>
                  <c:x val="-6.4027258507346511E-17"/>
                  <c:y val="-4.48194244748623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E22-4775-B2E4-165C2622C4CE}"/>
                </c:ext>
              </c:extLst>
            </c:dLbl>
            <c:dLbl>
              <c:idx val="17"/>
              <c:layout>
                <c:manualLayout>
                  <c:x val="7.4373718245634185E-17"/>
                  <c:y val="-3.601670245764735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E22-4775-B2E4-165C2622C4CE}"/>
                </c:ext>
              </c:extLst>
            </c:dLbl>
            <c:dLbl>
              <c:idx val="19"/>
              <c:layout>
                <c:manualLayout>
                  <c:x val="0"/>
                  <c:y val="-4.607110474827007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E22-4775-B2E4-165C2622C4CE}"/>
                </c:ext>
              </c:extLst>
            </c:dLbl>
            <c:dLbl>
              <c:idx val="20"/>
              <c:layout>
                <c:manualLayout>
                  <c:x val="0"/>
                  <c:y val="-3.54111372440568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E22-4775-B2E4-165C2622C4CE}"/>
                </c:ext>
              </c:extLst>
            </c:dLbl>
            <c:dLbl>
              <c:idx val="22"/>
              <c:layout>
                <c:manualLayout>
                  <c:x val="-1.487474364912683E-16"/>
                  <c:y val="-2.98484848484848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E22-4775-B2E4-165C2622C4CE}"/>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 Peak Military'!$A$4:$A$36</c:f>
              <c:strCache>
                <c:ptCount val="33"/>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pt idx="32">
                  <c:v>Lake Chad Basin (2016)</c:v>
                </c:pt>
              </c:strCache>
            </c:strRef>
          </c:cat>
          <c:val>
            <c:numRef>
              <c:f>'9.1 Peak Military'!$D$4:$D$36</c:f>
              <c:numCache>
                <c:formatCode>General</c:formatCode>
                <c:ptCount val="33"/>
                <c:pt idx="5" formatCode="#\,##0">
                  <c:v>5700</c:v>
                </c:pt>
                <c:pt idx="16" formatCode="#\,##0">
                  <c:v>7024</c:v>
                </c:pt>
                <c:pt idx="17" formatCode="#\,##0">
                  <c:v>4500</c:v>
                </c:pt>
                <c:pt idx="19" formatCode="#\,##0">
                  <c:v>4800</c:v>
                </c:pt>
                <c:pt idx="20" formatCode="#\,##0">
                  <c:v>3800</c:v>
                </c:pt>
                <c:pt idx="22" formatCode="#\,##0">
                  <c:v>2500</c:v>
                </c:pt>
              </c:numCache>
            </c:numRef>
          </c:val>
          <c:extLst>
            <c:ext xmlns:c16="http://schemas.microsoft.com/office/drawing/2014/chart" uri="{C3380CC4-5D6E-409C-BE32-E72D297353CC}">
              <c16:uniqueId val="{0000001D-0E22-4775-B2E4-165C2622C4CE}"/>
            </c:ext>
          </c:extLst>
        </c:ser>
        <c:ser>
          <c:idx val="3"/>
          <c:order val="3"/>
          <c:tx>
            <c:strRef>
              <c:f>'9.1 Peak Military'!$E$3</c:f>
              <c:strCache>
                <c:ptCount val="1"/>
                <c:pt idx="0">
                  <c:v>African</c:v>
                </c:pt>
              </c:strCache>
            </c:strRef>
          </c:tx>
          <c:spPr>
            <a:pattFill prst="wdUpDiag">
              <a:fgClr>
                <a:schemeClr val="tx1"/>
              </a:fgClr>
              <a:bgClr>
                <a:schemeClr val="bg1"/>
              </a:bgClr>
            </a:pattFill>
            <a:ln>
              <a:solidFill>
                <a:schemeClr val="tx1"/>
              </a:solidFill>
            </a:ln>
            <a:effectLst/>
          </c:spPr>
          <c:invertIfNegative val="0"/>
          <c:dLbls>
            <c:dLbl>
              <c:idx val="24"/>
              <c:layout>
                <c:manualLayout>
                  <c:x val="0"/>
                  <c:y val="-3.86802449867635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E22-4775-B2E4-165C2622C4CE}"/>
                </c:ext>
              </c:extLst>
            </c:dLbl>
            <c:dLbl>
              <c:idx val="26"/>
              <c:layout>
                <c:manualLayout>
                  <c:x val="0"/>
                  <c:y val="-2.69003609248587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E22-4775-B2E4-165C2622C4CE}"/>
                </c:ext>
              </c:extLst>
            </c:dLbl>
            <c:dLbl>
              <c:idx val="28"/>
              <c:layout>
                <c:manualLayout>
                  <c:x val="-1.0218651674625864E-3"/>
                  <c:y val="-5.617418277260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0E22-4775-B2E4-165C2622C4CE}"/>
                </c:ext>
              </c:extLst>
            </c:dLbl>
            <c:dLbl>
              <c:idx val="30"/>
              <c:layout>
                <c:manualLayout>
                  <c:x val="-1.0435766744485097E-3"/>
                  <c:y val="-1.95467245437112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0E22-4775-B2E4-165C2622C4CE}"/>
                </c:ext>
              </c:extLst>
            </c:dLbl>
            <c:dLbl>
              <c:idx val="31"/>
              <c:layout>
                <c:manualLayout>
                  <c:x val="0"/>
                  <c:y val="-0.1136797900262467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0E22-4775-B2E4-165C2622C4CE}"/>
                </c:ext>
              </c:extLst>
            </c:dLbl>
            <c:dLbl>
              <c:idx val="32"/>
              <c:layout>
                <c:manualLayout>
                  <c:x val="-7.985817188672925E-8"/>
                  <c:y val="-5.510021474588416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9117726916995404E-2"/>
                      <c:h val="3.5651634454784059E-2"/>
                    </c:manualLayout>
                  </c15:layout>
                </c:ext>
                <c:ext xmlns:c16="http://schemas.microsoft.com/office/drawing/2014/chart" uri="{C3380CC4-5D6E-409C-BE32-E72D297353CC}">
                  <c16:uniqueId val="{00000023-0E22-4775-B2E4-165C2622C4CE}"/>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 Peak Military'!$A$4:$A$36</c:f>
              <c:strCache>
                <c:ptCount val="33"/>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pt idx="32">
                  <c:v>Lake Chad Basin (2016)</c:v>
                </c:pt>
              </c:strCache>
            </c:strRef>
          </c:cat>
          <c:val>
            <c:numRef>
              <c:f>'9.1 Peak Military'!$E$4:$E$36</c:f>
              <c:numCache>
                <c:formatCode>General</c:formatCode>
                <c:ptCount val="33"/>
                <c:pt idx="24" formatCode="#\,##0">
                  <c:v>5100</c:v>
                </c:pt>
                <c:pt idx="26" formatCode="#\,##0">
                  <c:v>3128</c:v>
                </c:pt>
                <c:pt idx="28" formatCode="#\,##0">
                  <c:v>5874</c:v>
                </c:pt>
                <c:pt idx="30" formatCode="#\,##0">
                  <c:v>1800</c:v>
                </c:pt>
                <c:pt idx="31" formatCode="#\,##0">
                  <c:v>22564</c:v>
                </c:pt>
                <c:pt idx="32" formatCode="#\,##0">
                  <c:v>8700</c:v>
                </c:pt>
              </c:numCache>
            </c:numRef>
          </c:val>
          <c:extLst>
            <c:ext xmlns:c16="http://schemas.microsoft.com/office/drawing/2014/chart" uri="{C3380CC4-5D6E-409C-BE32-E72D297353CC}">
              <c16:uniqueId val="{00000024-0E22-4775-B2E4-165C2622C4CE}"/>
            </c:ext>
          </c:extLst>
        </c:ser>
        <c:ser>
          <c:idx val="4"/>
          <c:order val="4"/>
          <c:tx>
            <c:strRef>
              <c:f>'9.1 Peak Military'!$F$3</c:f>
              <c:strCache>
                <c:ptCount val="1"/>
                <c:pt idx="0">
                  <c:v>Hybrid (UN/AU)</c:v>
                </c:pt>
              </c:strCache>
            </c:strRef>
          </c:tx>
          <c:spPr>
            <a:pattFill prst="dkHorz">
              <a:fgClr>
                <a:schemeClr val="tx1"/>
              </a:fgClr>
              <a:bgClr>
                <a:schemeClr val="bg1"/>
              </a:bgClr>
            </a:pattFill>
            <a:ln>
              <a:solidFill>
                <a:schemeClr val="tx1"/>
              </a:solidFill>
            </a:ln>
            <a:effectLst/>
          </c:spPr>
          <c:invertIfNegative val="0"/>
          <c:dLbls>
            <c:dLbl>
              <c:idx val="28"/>
              <c:layout>
                <c:manualLayout>
                  <c:x val="0"/>
                  <c:y val="-0.103468113609602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0E22-4775-B2E4-165C2622C4CE}"/>
                </c:ext>
              </c:extLst>
            </c:dLbl>
            <c:dLbl>
              <c:idx val="29"/>
              <c:layout>
                <c:manualLayout>
                  <c:x val="-1.517464982191628E-3"/>
                  <c:y val="-9.04855643044619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0E22-4775-B2E4-165C2622C4CE}"/>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'9.1 Peak Military'!$A$4:$A$36</c:f>
              <c:strCache>
                <c:ptCount val="33"/>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pt idx="32">
                  <c:v>Lake Chad Basin (2016)</c:v>
                </c:pt>
              </c:strCache>
            </c:strRef>
          </c:cat>
          <c:val>
            <c:numRef>
              <c:f>'9.1 Peak Military'!$F$4:$F$36</c:f>
              <c:numCache>
                <c:formatCode>General</c:formatCode>
                <c:ptCount val="33"/>
                <c:pt idx="29" formatCode="#\,##0">
                  <c:v>17778</c:v>
                </c:pt>
              </c:numCache>
            </c:numRef>
          </c:val>
          <c:extLst>
            <c:ext xmlns:c16="http://schemas.microsoft.com/office/drawing/2014/chart" uri="{C3380CC4-5D6E-409C-BE32-E72D297353CC}">
              <c16:uniqueId val="{00000027-0E22-4775-B2E4-165C2622C4CE}"/>
            </c:ext>
          </c:extLst>
        </c:ser>
        <c:dLbls>
          <c:showLegendKey val="0"/>
          <c:showVal val="0"/>
          <c:showCatName val="0"/>
          <c:showSerName val="0"/>
          <c:showPercent val="0"/>
          <c:showBubbleSize val="0"/>
        </c:dLbls>
        <c:gapWidth val="65"/>
        <c:overlap val="100"/>
        <c:axId val="134392448"/>
        <c:axId val="136663424"/>
      </c:barChart>
      <c:catAx>
        <c:axId val="1343924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crossAx val="136663424"/>
        <c:crosses val="autoZero"/>
        <c:auto val="1"/>
        <c:lblAlgn val="ctr"/>
        <c:lblOffset val="100"/>
        <c:noMultiLvlLbl val="0"/>
      </c:catAx>
      <c:valAx>
        <c:axId val="136663424"/>
        <c:scaling>
          <c:orientation val="minMax"/>
          <c:max val="8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mj-lt"/>
                    <a:ea typeface="+mn-ea"/>
                    <a:cs typeface="+mn-cs"/>
                  </a:defRPr>
                </a:pPr>
                <a:r>
                  <a:rPr lang="en-US" sz="900"/>
                  <a:t>Number of Troops Deployed</a:t>
                </a:r>
              </a:p>
            </c:rich>
          </c:tx>
          <c:layout>
            <c:manualLayout>
              <c:xMode val="edge"/>
              <c:yMode val="edge"/>
              <c:x val="1.3510405519796848E-3"/>
              <c:y val="0.20487664041994752"/>
            </c:manualLayout>
          </c:layout>
          <c:overlay val="0"/>
          <c:spPr>
            <a:noFill/>
            <a:ln>
              <a:noFill/>
            </a:ln>
            <a:effectLst/>
          </c:sp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crossAx val="134392448"/>
        <c:crosses val="autoZero"/>
        <c:crossBetween val="between"/>
      </c:valAx>
      <c:spPr>
        <a:noFill/>
        <a:ln>
          <a:noFill/>
        </a:ln>
        <a:effectLst/>
      </c:spPr>
    </c:plotArea>
    <c:legend>
      <c:legendPos val="tr"/>
      <c:layout>
        <c:manualLayout>
          <c:xMode val="edge"/>
          <c:yMode val="edge"/>
          <c:x val="0.78035829545478985"/>
          <c:y val="6.9124445812661917E-2"/>
          <c:w val="0.15701181007621437"/>
          <c:h val="0.17262645506655031"/>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233355241266872E-2"/>
          <c:y val="4.6070519689972479E-2"/>
          <c:w val="0.88655824531202287"/>
          <c:h val="0.71964029572194999"/>
        </c:manualLayout>
      </c:layout>
      <c:barChart>
        <c:barDir val="col"/>
        <c:grouping val="stacked"/>
        <c:varyColors val="0"/>
        <c:ser>
          <c:idx val="0"/>
          <c:order val="0"/>
          <c:tx>
            <c:strRef>
              <c:f>'9.2 Peak Military Per Capita'!$B$3</c:f>
              <c:strCache>
                <c:ptCount val="1"/>
                <c:pt idx="0">
                  <c:v>U.S.</c:v>
                </c:pt>
              </c:strCache>
            </c:strRef>
          </c:tx>
          <c:spPr>
            <a:solidFill>
              <a:schemeClr val="bg1">
                <a:lumMod val="95000"/>
              </a:schemeClr>
            </a:solidFill>
            <a:ln>
              <a:solidFill>
                <a:schemeClr val="tx1"/>
              </a:solidFill>
            </a:ln>
            <a:effectLst/>
          </c:spPr>
          <c:invertIfNegative val="0"/>
          <c:dLbls>
            <c:dLbl>
              <c:idx val="0"/>
              <c:layout>
                <c:manualLayout>
                  <c:x val="1.9077776830572761E-3"/>
                  <c:y val="7.539006302208104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69-4FB7-BF1C-209623E7F822}"/>
                </c:ext>
              </c:extLst>
            </c:dLbl>
            <c:dLbl>
              <c:idx val="1"/>
              <c:layout>
                <c:manualLayout>
                  <c:x val="-1.7670963672576604E-3"/>
                  <c:y val="-0.193003255877672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9-4FB7-BF1C-209623E7F822}"/>
                </c:ext>
              </c:extLst>
            </c:dLbl>
            <c:dLbl>
              <c:idx val="2"/>
              <c:layout>
                <c:manualLayout>
                  <c:x val="0"/>
                  <c:y val="-0.184213794525055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69-4FB7-BF1C-209623E7F822}"/>
                </c:ext>
              </c:extLst>
            </c:dLbl>
            <c:dLbl>
              <c:idx val="3"/>
              <c:layout>
                <c:manualLayout>
                  <c:x val="0"/>
                  <c:y val="-0.123386198134389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69-4FB7-BF1C-209623E7F822}"/>
                </c:ext>
              </c:extLst>
            </c:dLbl>
            <c:dLbl>
              <c:idx val="4"/>
              <c:layout>
                <c:manualLayout>
                  <c:x val="1.7462181315191009E-3"/>
                  <c:y val="-0.286727635952844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69-4FB7-BF1C-209623E7F822}"/>
                </c:ext>
              </c:extLst>
            </c:dLbl>
            <c:dLbl>
              <c:idx val="6"/>
              <c:layout>
                <c:manualLayout>
                  <c:x val="-3.2013629253673256E-17"/>
                  <c:y val="-0.213573454845129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69-4FB7-BF1C-209623E7F822}"/>
                </c:ext>
              </c:extLst>
            </c:dLbl>
            <c:dLbl>
              <c:idx val="7"/>
              <c:layout>
                <c:manualLayout>
                  <c:x val="3.5496644975807411E-3"/>
                  <c:y val="2.710030569998384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69-4FB7-BF1C-209623E7F822}"/>
                </c:ext>
              </c:extLst>
            </c:dLbl>
            <c:dLbl>
              <c:idx val="8"/>
              <c:layout>
                <c:manualLayout>
                  <c:x val="5.263162257076052E-5"/>
                  <c:y val="-0.24720386727763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69-4FB7-BF1C-209623E7F82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 Peak Military Per Capita'!$A$4:$A$35</c:f>
              <c:strCache>
                <c:ptCount val="32"/>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strCache>
            </c:strRef>
          </c:cat>
          <c:val>
            <c:numRef>
              <c:f>'9.2 Peak Military Per Capita'!$B$4:$B$35</c:f>
              <c:numCache>
                <c:formatCode>General</c:formatCode>
                <c:ptCount val="32"/>
                <c:pt idx="0">
                  <c:v>89.3</c:v>
                </c:pt>
                <c:pt idx="1">
                  <c:v>4.9000000000000004</c:v>
                </c:pt>
                <c:pt idx="2">
                  <c:v>5.7</c:v>
                </c:pt>
                <c:pt idx="3">
                  <c:v>2.9</c:v>
                </c:pt>
                <c:pt idx="4">
                  <c:v>17.5</c:v>
                </c:pt>
                <c:pt idx="6">
                  <c:v>19.3</c:v>
                </c:pt>
                <c:pt idx="7">
                  <c:v>29.7</c:v>
                </c:pt>
                <c:pt idx="8">
                  <c:v>6.4</c:v>
                </c:pt>
              </c:numCache>
            </c:numRef>
          </c:val>
          <c:extLst>
            <c:ext xmlns:c16="http://schemas.microsoft.com/office/drawing/2014/chart" uri="{C3380CC4-5D6E-409C-BE32-E72D297353CC}">
              <c16:uniqueId val="{00000008-CE69-4FB7-BF1C-209623E7F822}"/>
            </c:ext>
          </c:extLst>
        </c:ser>
        <c:ser>
          <c:idx val="1"/>
          <c:order val="1"/>
          <c:tx>
            <c:strRef>
              <c:f>'9.2 Peak Military Per Capita'!$C$3</c:f>
              <c:strCache>
                <c:ptCount val="1"/>
                <c:pt idx="0">
                  <c:v>UN</c:v>
                </c:pt>
              </c:strCache>
            </c:strRef>
          </c:tx>
          <c:spPr>
            <a:solidFill>
              <a:schemeClr val="bg1">
                <a:lumMod val="65000"/>
              </a:schemeClr>
            </a:solidFill>
            <a:ln>
              <a:solidFill>
                <a:schemeClr val="tx1"/>
              </a:solidFill>
            </a:ln>
            <a:effectLst/>
          </c:spPr>
          <c:invertIfNegative val="0"/>
          <c:dLbls>
            <c:dLbl>
              <c:idx val="9"/>
              <c:layout>
                <c:manualLayout>
                  <c:x val="-1.754387419025416E-3"/>
                  <c:y val="-6.8081302624205808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CE69-4FB7-BF1C-209623E7F822}"/>
                </c:ext>
              </c:extLst>
            </c:dLbl>
            <c:dLbl>
              <c:idx val="10"/>
              <c:layout>
                <c:manualLayout>
                  <c:x val="-6.4326795588964451E-17"/>
                  <c:y val="-0.14428074721731074"/>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CE69-4FB7-BF1C-209623E7F822}"/>
                </c:ext>
              </c:extLst>
            </c:dLbl>
            <c:dLbl>
              <c:idx val="12"/>
              <c:layout>
                <c:manualLayout>
                  <c:x val="-1.7543874190253516E-3"/>
                  <c:y val="-7.7144967857330396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CE69-4FB7-BF1C-209623E7F822}"/>
                </c:ext>
              </c:extLst>
            </c:dLbl>
            <c:dLbl>
              <c:idx val="13"/>
              <c:layout>
                <c:manualLayout>
                  <c:x val="0"/>
                  <c:y val="-4.0844428454552786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CE69-4FB7-BF1C-209623E7F822}"/>
                </c:ext>
              </c:extLst>
            </c:dLbl>
            <c:dLbl>
              <c:idx val="14"/>
              <c:layout>
                <c:manualLayout>
                  <c:x val="-3.3464594666054426E-3"/>
                  <c:y val="1.2959067442204859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CE69-4FB7-BF1C-209623E7F822}"/>
                </c:ext>
              </c:extLst>
            </c:dLbl>
            <c:dLbl>
              <c:idx val="15"/>
              <c:layout>
                <c:manualLayout>
                  <c:x val="-1.7543874190253516E-3"/>
                  <c:y val="-0.36563732450418179"/>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CE69-4FB7-BF1C-209623E7F822}"/>
                </c:ext>
              </c:extLst>
            </c:dLbl>
            <c:dLbl>
              <c:idx val="17"/>
              <c:layout>
                <c:manualLayout>
                  <c:x val="0"/>
                  <c:y val="-0.10727389276046274"/>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CE69-4FB7-BF1C-209623E7F822}"/>
                </c:ext>
              </c:extLst>
            </c:dLbl>
            <c:dLbl>
              <c:idx val="18"/>
              <c:layout>
                <c:manualLayout>
                  <c:x val="0"/>
                  <c:y val="-0.1444058701947713"/>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0-CE69-4FB7-BF1C-209623E7F822}"/>
                </c:ext>
              </c:extLst>
            </c:dLbl>
            <c:dLbl>
              <c:idx val="20"/>
              <c:layout>
                <c:manualLayout>
                  <c:x val="0"/>
                  <c:y val="6.9415192474053084E-4"/>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CE69-4FB7-BF1C-209623E7F822}"/>
                </c:ext>
              </c:extLst>
            </c:dLbl>
            <c:dLbl>
              <c:idx val="21"/>
              <c:layout>
                <c:manualLayout>
                  <c:x val="0"/>
                  <c:y val="-3.3371174370177843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CE69-4FB7-BF1C-209623E7F822}"/>
                </c:ext>
              </c:extLst>
            </c:dLbl>
            <c:dLbl>
              <c:idx val="22"/>
              <c:layout>
                <c:manualLayout>
                  <c:x val="0"/>
                  <c:y val="-3.792122303893013E-3"/>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CE69-4FB7-BF1C-209623E7F822}"/>
                </c:ext>
              </c:extLst>
            </c:dLbl>
            <c:dLbl>
              <c:idx val="23"/>
              <c:layout>
                <c:manualLayout>
                  <c:x val="-1.4211722129882806E-16"/>
                  <c:y val="-2.6597188762972113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CE69-4FB7-BF1C-209623E7F822}"/>
                </c:ext>
              </c:extLst>
            </c:dLbl>
            <c:dLbl>
              <c:idx val="25"/>
              <c:layout>
                <c:manualLayout>
                  <c:x val="0"/>
                  <c:y val="-0.10072909997733943"/>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5-CE69-4FB7-BF1C-209623E7F822}"/>
                </c:ext>
              </c:extLst>
            </c:dLbl>
            <c:dLbl>
              <c:idx val="27"/>
              <c:layout>
                <c:manualLayout>
                  <c:x val="1.9379844961240314E-3"/>
                  <c:y val="-4.3743358568024741E-2"/>
                </c:manualLayout>
              </c:layout>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6-CE69-4FB7-BF1C-209623E7F82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 Peak Military Per Capita'!$A$4:$A$35</c:f>
              <c:strCache>
                <c:ptCount val="32"/>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strCache>
            </c:strRef>
          </c:cat>
          <c:val>
            <c:numRef>
              <c:f>'9.2 Peak Military Per Capita'!$C$4:$C$35</c:f>
              <c:numCache>
                <c:formatCode>General</c:formatCode>
                <c:ptCount val="32"/>
                <c:pt idx="9">
                  <c:v>1.3</c:v>
                </c:pt>
                <c:pt idx="10">
                  <c:v>3.4</c:v>
                </c:pt>
                <c:pt idx="11">
                  <c:v>0.1</c:v>
                </c:pt>
                <c:pt idx="12">
                  <c:v>1.5</c:v>
                </c:pt>
                <c:pt idx="13">
                  <c:v>0.4</c:v>
                </c:pt>
                <c:pt idx="14">
                  <c:v>35.300000000000004</c:v>
                </c:pt>
                <c:pt idx="15">
                  <c:v>9.6</c:v>
                </c:pt>
                <c:pt idx="18" formatCode="#\,##0.0">
                  <c:v>3.5</c:v>
                </c:pt>
                <c:pt idx="21" formatCode="#\,##0.0">
                  <c:v>0.5</c:v>
                </c:pt>
                <c:pt idx="23" formatCode="#\,##0.0">
                  <c:v>0.3000000000000001</c:v>
                </c:pt>
                <c:pt idx="25" formatCode="#\,##0.0">
                  <c:v>2.2000000000000002</c:v>
                </c:pt>
                <c:pt idx="27" formatCode="#\,##0.0">
                  <c:v>0.6000000000000002</c:v>
                </c:pt>
              </c:numCache>
            </c:numRef>
          </c:val>
          <c:extLst>
            <c:ext xmlns:c16="http://schemas.microsoft.com/office/drawing/2014/chart" uri="{C3380CC4-5D6E-409C-BE32-E72D297353CC}">
              <c16:uniqueId val="{00000017-CE69-4FB7-BF1C-209623E7F822}"/>
            </c:ext>
          </c:extLst>
        </c:ser>
        <c:ser>
          <c:idx val="2"/>
          <c:order val="2"/>
          <c:tx>
            <c:strRef>
              <c:f>'9.2 Peak Military Per Capita'!$D$3</c:f>
              <c:strCache>
                <c:ptCount val="1"/>
                <c:pt idx="0">
                  <c:v>European</c:v>
                </c:pt>
              </c:strCache>
            </c:strRef>
          </c:tx>
          <c:spPr>
            <a:solidFill>
              <a:schemeClr val="tx1"/>
            </a:solidFill>
            <a:ln>
              <a:solidFill>
                <a:schemeClr val="tx1"/>
              </a:solidFill>
            </a:ln>
            <a:effectLst/>
          </c:spPr>
          <c:invertIfNegative val="0"/>
          <c:dLbls>
            <c:dLbl>
              <c:idx val="5"/>
              <c:layout>
                <c:manualLayout>
                  <c:x val="-1.7543874190253516E-3"/>
                  <c:y val="-7.39603618552314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E69-4FB7-BF1C-209623E7F822}"/>
                </c:ext>
              </c:extLst>
            </c:dLbl>
            <c:dLbl>
              <c:idx val="16"/>
              <c:layout>
                <c:manualLayout>
                  <c:x val="-1.7543874190253516E-3"/>
                  <c:y val="-0.370023092874668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E69-4FB7-BF1C-209623E7F822}"/>
                </c:ext>
              </c:extLst>
            </c:dLbl>
            <c:dLbl>
              <c:idx val="17"/>
              <c:layout>
                <c:manualLayout>
                  <c:x val="-3.8759689922481331E-3"/>
                  <c:y val="-5.62839221794677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E69-4FB7-BF1C-209623E7F822}"/>
                </c:ext>
              </c:extLst>
            </c:dLbl>
            <c:dLbl>
              <c:idx val="19"/>
              <c:layout>
                <c:manualLayout>
                  <c:x val="-3.5087748380507036E-3"/>
                  <c:y val="-0.1050512409165964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E69-4FB7-BF1C-209623E7F822}"/>
                </c:ext>
              </c:extLst>
            </c:dLbl>
            <c:dLbl>
              <c:idx val="20"/>
              <c:layout>
                <c:manualLayout>
                  <c:x val="0"/>
                  <c:y val="-3.54111372440568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E69-4FB7-BF1C-209623E7F822}"/>
                </c:ext>
              </c:extLst>
            </c:dLbl>
            <c:dLbl>
              <c:idx val="22"/>
              <c:layout>
                <c:manualLayout>
                  <c:x val="1.9379844961238898E-3"/>
                  <c:y val="-2.47326376742722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E69-4FB7-BF1C-209623E7F82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 Peak Military Per Capita'!$A$4:$A$35</c:f>
              <c:strCache>
                <c:ptCount val="32"/>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strCache>
            </c:strRef>
          </c:cat>
          <c:val>
            <c:numRef>
              <c:f>'9.2 Peak Military Per Capita'!$D$4:$D$35</c:f>
              <c:numCache>
                <c:formatCode>General</c:formatCode>
                <c:ptCount val="32"/>
                <c:pt idx="5" formatCode="#\,##0.0">
                  <c:v>1.5</c:v>
                </c:pt>
                <c:pt idx="16" formatCode="#\,##0.0">
                  <c:v>9.8000000000000007</c:v>
                </c:pt>
                <c:pt idx="17" formatCode="#\,##0.0">
                  <c:v>1</c:v>
                </c:pt>
                <c:pt idx="19" formatCode="#\,##0.0">
                  <c:v>2.4</c:v>
                </c:pt>
                <c:pt idx="20" formatCode="#\,##0.0">
                  <c:v>0.2</c:v>
                </c:pt>
                <c:pt idx="22" formatCode="#\,##0.00">
                  <c:v>4.0000000000000015E-2</c:v>
                </c:pt>
              </c:numCache>
            </c:numRef>
          </c:val>
          <c:extLst>
            <c:ext xmlns:c16="http://schemas.microsoft.com/office/drawing/2014/chart" uri="{C3380CC4-5D6E-409C-BE32-E72D297353CC}">
              <c16:uniqueId val="{0000001E-CE69-4FB7-BF1C-209623E7F822}"/>
            </c:ext>
          </c:extLst>
        </c:ser>
        <c:ser>
          <c:idx val="3"/>
          <c:order val="3"/>
          <c:tx>
            <c:strRef>
              <c:f>'9.2 Peak Military Per Capita'!$E$3</c:f>
              <c:strCache>
                <c:ptCount val="1"/>
                <c:pt idx="0">
                  <c:v>African</c:v>
                </c:pt>
              </c:strCache>
            </c:strRef>
          </c:tx>
          <c:spPr>
            <a:pattFill prst="wdUpDiag">
              <a:fgClr>
                <a:schemeClr val="tx1"/>
              </a:fgClr>
              <a:bgClr>
                <a:schemeClr val="bg1"/>
              </a:bgClr>
            </a:pattFill>
            <a:ln>
              <a:solidFill>
                <a:schemeClr val="tx1"/>
              </a:solidFill>
            </a:ln>
            <a:effectLst/>
          </c:spPr>
          <c:invertIfNegative val="0"/>
          <c:dLbls>
            <c:dLbl>
              <c:idx val="24"/>
              <c:layout>
                <c:manualLayout>
                  <c:x val="1.9379844961240314E-3"/>
                  <c:y val="-5.72251079679584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E69-4FB7-BF1C-209623E7F822}"/>
                </c:ext>
              </c:extLst>
            </c:dLbl>
            <c:dLbl>
              <c:idx val="25"/>
              <c:layout>
                <c:manualLayout>
                  <c:x val="0"/>
                  <c:y val="-3.86802449867635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E69-4FB7-BF1C-209623E7F822}"/>
                </c:ext>
              </c:extLst>
            </c:dLbl>
            <c:dLbl>
              <c:idx val="26"/>
              <c:layout>
                <c:manualLayout>
                  <c:x val="0"/>
                  <c:y val="-3.64807395722644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CE69-4FB7-BF1C-209623E7F822}"/>
                </c:ext>
              </c:extLst>
            </c:dLbl>
            <c:dLbl>
              <c:idx val="27"/>
              <c:layout>
                <c:manualLayout>
                  <c:x val="-1.7543874190253516E-3"/>
                  <c:y val="-3.774048320485237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E69-4FB7-BF1C-209623E7F822}"/>
                </c:ext>
              </c:extLst>
            </c:dLbl>
            <c:dLbl>
              <c:idx val="28"/>
              <c:layout>
                <c:manualLayout>
                  <c:x val="-1.9379844961240314E-3"/>
                  <c:y val="-5.36676104925275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CE69-4FB7-BF1C-209623E7F822}"/>
                </c:ext>
              </c:extLst>
            </c:dLbl>
            <c:dLbl>
              <c:idx val="30"/>
              <c:layout>
                <c:manualLayout>
                  <c:x val="0"/>
                  <c:y val="-0.1194103485611444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CE69-4FB7-BF1C-209623E7F822}"/>
                </c:ext>
              </c:extLst>
            </c:dLbl>
            <c:dLbl>
              <c:idx val="31"/>
              <c:layout>
                <c:manualLayout>
                  <c:x val="1.7543874190252232E-3"/>
                  <c:y val="-7.67002667779699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CE69-4FB7-BF1C-209623E7F82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 Peak Military Per Capita'!$A$4:$A$35</c:f>
              <c:strCache>
                <c:ptCount val="32"/>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strCache>
            </c:strRef>
          </c:cat>
          <c:val>
            <c:numRef>
              <c:f>'9.2 Peak Military Per Capita'!$E$4:$E$35</c:f>
              <c:numCache>
                <c:formatCode>General</c:formatCode>
                <c:ptCount val="32"/>
                <c:pt idx="24" formatCode="#\,##0.0">
                  <c:v>1.1000000000000001</c:v>
                </c:pt>
                <c:pt idx="26" formatCode="#\,##0.0">
                  <c:v>0.4</c:v>
                </c:pt>
                <c:pt idx="28" formatCode="#\,##0.0">
                  <c:v>0.9</c:v>
                </c:pt>
                <c:pt idx="30" formatCode="#\,##0.0">
                  <c:v>2.7</c:v>
                </c:pt>
                <c:pt idx="31" formatCode="#\,##0.0">
                  <c:v>1.6</c:v>
                </c:pt>
              </c:numCache>
            </c:numRef>
          </c:val>
          <c:extLst>
            <c:ext xmlns:c16="http://schemas.microsoft.com/office/drawing/2014/chart" uri="{C3380CC4-5D6E-409C-BE32-E72D297353CC}">
              <c16:uniqueId val="{00000026-CE69-4FB7-BF1C-209623E7F822}"/>
            </c:ext>
          </c:extLst>
        </c:ser>
        <c:ser>
          <c:idx val="4"/>
          <c:order val="4"/>
          <c:tx>
            <c:strRef>
              <c:f>'9.2 Peak Military Per Capita'!$F$3</c:f>
              <c:strCache>
                <c:ptCount val="1"/>
                <c:pt idx="0">
                  <c:v>Hybrid (UN/AU)</c:v>
                </c:pt>
              </c:strCache>
            </c:strRef>
          </c:tx>
          <c:spPr>
            <a:pattFill prst="dkHorz">
              <a:fgClr>
                <a:schemeClr val="tx1"/>
              </a:fgClr>
              <a:bgClr>
                <a:schemeClr val="bg1"/>
              </a:bgClr>
            </a:pattFill>
            <a:ln>
              <a:solidFill>
                <a:schemeClr val="tx1"/>
              </a:solidFill>
            </a:ln>
            <a:effectLst/>
          </c:spPr>
          <c:invertIfNegative val="0"/>
          <c:dLbls>
            <c:dLbl>
              <c:idx val="29"/>
              <c:layout>
                <c:manualLayout>
                  <c:x val="0"/>
                  <c:y val="-0.103468113609602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CE69-4FB7-BF1C-209623E7F82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 Peak Military Per Capita'!$A$4:$A$35</c:f>
              <c:strCache>
                <c:ptCount val="32"/>
                <c:pt idx="0">
                  <c:v>Germany (1945)</c:v>
                </c:pt>
                <c:pt idx="1">
                  <c:v>Japan (1945)</c:v>
                </c:pt>
                <c:pt idx="2">
                  <c:v>Somalia (I) (1992)</c:v>
                </c:pt>
                <c:pt idx="3">
                  <c:v>Haiti (1994)</c:v>
                </c:pt>
                <c:pt idx="4">
                  <c:v>Bosnia (I) (1995)</c:v>
                </c:pt>
                <c:pt idx="5">
                  <c:v>Bosnia (II) (2005)</c:v>
                </c:pt>
                <c:pt idx="6">
                  <c:v>Kosovo (1999)</c:v>
                </c:pt>
                <c:pt idx="7">
                  <c:v>Afghanistan (2011)</c:v>
                </c:pt>
                <c:pt idx="8">
                  <c:v>Iraq (2007)</c:v>
                </c:pt>
                <c:pt idx="9">
                  <c:v>Belgian Congo (1961)</c:v>
                </c:pt>
                <c:pt idx="10">
                  <c:v>Namibia (1989)</c:v>
                </c:pt>
                <c:pt idx="11">
                  <c:v>El Salvador (1992)</c:v>
                </c:pt>
                <c:pt idx="12">
                  <c:v>Cambodia (1993)</c:v>
                </c:pt>
                <c:pt idx="13">
                  <c:v>Mozambique (1993)</c:v>
                </c:pt>
                <c:pt idx="14">
                  <c:v>Eastern Slavonia (1996)</c:v>
                </c:pt>
                <c:pt idx="15">
                  <c:v>East Timor (2000)</c:v>
                </c:pt>
                <c:pt idx="16">
                  <c:v>Albania (1997)</c:v>
                </c:pt>
                <c:pt idx="17">
                  <c:v>Sierra Leone (I) (2000)</c:v>
                </c:pt>
                <c:pt idx="18">
                  <c:v>Sierra Leone (II) (2002)</c:v>
                </c:pt>
                <c:pt idx="19">
                  <c:v>Macedonia (2001)</c:v>
                </c:pt>
                <c:pt idx="20">
                  <c:v>Cote d'Ivoire (I) (2007)</c:v>
                </c:pt>
                <c:pt idx="21">
                  <c:v>Cote d'Ivoire (II) (2011)</c:v>
                </c:pt>
                <c:pt idx="22">
                  <c:v>DR Congo (I) (2006)</c:v>
                </c:pt>
                <c:pt idx="23">
                  <c:v>DR Congo (II) (2014)</c:v>
                </c:pt>
                <c:pt idx="24">
                  <c:v>CAR (I) (2014)</c:v>
                </c:pt>
                <c:pt idx="25">
                  <c:v>CAR (II) (2017)</c:v>
                </c:pt>
                <c:pt idx="26">
                  <c:v>Burundi (I) (2004)</c:v>
                </c:pt>
                <c:pt idx="27">
                  <c:v>Burundi (II (2005)</c:v>
                </c:pt>
                <c:pt idx="28">
                  <c:v>Darfur (I) (2006)</c:v>
                </c:pt>
                <c:pt idx="29">
                  <c:v>Darfur (II) (2012)</c:v>
                </c:pt>
                <c:pt idx="30">
                  <c:v>Comoros (2008)</c:v>
                </c:pt>
                <c:pt idx="31">
                  <c:v>Somalia (II) (2017)</c:v>
                </c:pt>
              </c:strCache>
            </c:strRef>
          </c:cat>
          <c:val>
            <c:numRef>
              <c:f>'9.2 Peak Military Per Capita'!$F$4:$F$35</c:f>
              <c:numCache>
                <c:formatCode>General</c:formatCode>
                <c:ptCount val="32"/>
                <c:pt idx="29" formatCode="#\,##0.0">
                  <c:v>2.2999999999999998</c:v>
                </c:pt>
              </c:numCache>
            </c:numRef>
          </c:val>
          <c:extLst>
            <c:ext xmlns:c16="http://schemas.microsoft.com/office/drawing/2014/chart" uri="{C3380CC4-5D6E-409C-BE32-E72D297353CC}">
              <c16:uniqueId val="{00000028-CE69-4FB7-BF1C-209623E7F822}"/>
            </c:ext>
          </c:extLst>
        </c:ser>
        <c:dLbls>
          <c:showLegendKey val="0"/>
          <c:showVal val="0"/>
          <c:showCatName val="0"/>
          <c:showSerName val="0"/>
          <c:showPercent val="0"/>
          <c:showBubbleSize val="0"/>
        </c:dLbls>
        <c:gapWidth val="65"/>
        <c:overlap val="100"/>
        <c:axId val="136892416"/>
        <c:axId val="136893952"/>
      </c:barChart>
      <c:catAx>
        <c:axId val="1368924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crossAx val="136893952"/>
        <c:crosses val="autoZero"/>
        <c:auto val="1"/>
        <c:lblAlgn val="ctr"/>
        <c:lblOffset val="100"/>
        <c:noMultiLvlLbl val="0"/>
      </c:catAx>
      <c:valAx>
        <c:axId val="136893952"/>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mj-lt"/>
                    <a:ea typeface="+mn-ea"/>
                    <a:cs typeface="+mn-cs"/>
                  </a:defRPr>
                </a:pPr>
                <a:r>
                  <a:rPr lang="en-US"/>
                  <a:t>Number of Troops Deployed per 1,000 inhabitants</a:t>
                </a:r>
              </a:p>
            </c:rich>
          </c:tx>
          <c:layout>
            <c:manualLayout>
              <c:xMode val="edge"/>
              <c:yMode val="edge"/>
              <c:x val="1.8489171285402378E-2"/>
              <c:y val="0.13167611763154416"/>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crossAx val="136892416"/>
        <c:crosses val="autoZero"/>
        <c:crossBetween val="between"/>
      </c:valAx>
      <c:spPr>
        <a:noFill/>
        <a:ln>
          <a:noFill/>
        </a:ln>
        <a:effectLst/>
      </c:spPr>
    </c:plotArea>
    <c:legend>
      <c:legendPos val="tr"/>
      <c:layout>
        <c:manualLayout>
          <c:xMode val="edge"/>
          <c:yMode val="edge"/>
          <c:x val="0.77695126045290863"/>
          <c:y val="4.7619119038798723E-2"/>
          <c:w val="0.19375221265946413"/>
          <c:h val="0.17695979371073789"/>
        </c:manualLayout>
      </c:layout>
      <c:overlay val="1"/>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mj-lt"/>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481465678859164E-2"/>
          <c:y val="4.0595399188092018E-2"/>
          <c:w val="0.88909817307319372"/>
          <c:h val="0.66807279334838432"/>
        </c:manualLayout>
      </c:layout>
      <c:barChart>
        <c:barDir val="col"/>
        <c:grouping val="stacked"/>
        <c:varyColors val="0"/>
        <c:ser>
          <c:idx val="0"/>
          <c:order val="0"/>
          <c:tx>
            <c:strRef>
              <c:f>'9.3 Peak Police'!$B$3</c:f>
              <c:strCache>
                <c:ptCount val="1"/>
                <c:pt idx="0">
                  <c:v>U.S./NATO</c:v>
                </c:pt>
              </c:strCache>
            </c:strRef>
          </c:tx>
          <c:spPr>
            <a:solidFill>
              <a:schemeClr val="bg1">
                <a:lumMod val="95000"/>
              </a:schemeClr>
            </a:solidFill>
            <a:ln>
              <a:solidFill>
                <a:schemeClr val="tx1"/>
              </a:solidFill>
            </a:ln>
            <a:effectLst/>
          </c:spPr>
          <c:invertIfNegative val="0"/>
          <c:dLbls>
            <c:dLbl>
              <c:idx val="0"/>
              <c:layout>
                <c:manualLayout>
                  <c:x val="4.9261083743842391E-3"/>
                  <c:y val="-2.4377483937647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1D-4628-B709-3D29A8D6E83A}"/>
                </c:ext>
              </c:extLst>
            </c:dLbl>
            <c:dLbl>
              <c:idx val="1"/>
              <c:layout>
                <c:manualLayout>
                  <c:x val="0"/>
                  <c:y val="-2.4377483937647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1D-4628-B709-3D29A8D6E83A}"/>
                </c:ext>
              </c:extLst>
            </c:dLbl>
            <c:dLbl>
              <c:idx val="2"/>
              <c:layout>
                <c:manualLayout>
                  <c:x val="-1.5051823930664059E-17"/>
                  <c:y val="-2.48043216519451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1D-4628-B709-3D29A8D6E83A}"/>
                </c:ext>
              </c:extLst>
            </c:dLbl>
            <c:dLbl>
              <c:idx val="3"/>
              <c:layout>
                <c:manualLayout>
                  <c:x val="-3.9173336640061587E-17"/>
                  <c:y val="-7.39220923375767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1D-4628-B709-3D29A8D6E83A}"/>
                </c:ext>
              </c:extLst>
            </c:dLbl>
            <c:dLbl>
              <c:idx val="4"/>
              <c:layout>
                <c:manualLayout>
                  <c:x val="0"/>
                  <c:y val="-0.1431692046203476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1D-4628-B709-3D29A8D6E83A}"/>
                </c:ext>
              </c:extLst>
            </c:dLbl>
            <c:dLbl>
              <c:idx val="5"/>
              <c:layout>
                <c:manualLayout>
                  <c:x val="-1.6421024295040052E-3"/>
                  <c:y val="-0.3184923745765259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1D-4628-B709-3D29A8D6E83A}"/>
                </c:ext>
              </c:extLst>
            </c:dLbl>
            <c:dLbl>
              <c:idx val="6"/>
              <c:layout>
                <c:manualLayout>
                  <c:x val="4.9261083743842391E-3"/>
                  <c:y val="-2.16711239917744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1D-4628-B709-3D29A8D6E83A}"/>
                </c:ext>
              </c:extLst>
            </c:dLbl>
            <c:dLbl>
              <c:idx val="7"/>
              <c:layout>
                <c:manualLayout>
                  <c:x val="0"/>
                  <c:y val="-2.4377483937647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1D-4628-B709-3D29A8D6E8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'9.3 Peak Police'!$A$4:$A$32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'9.3 Peak Police'!$B$4:$B$32</c:f>
              <c:numCache>
                <c:formatCode>0</c:formatCode>
                <c:ptCount val="29"/>
                <c:pt idx="0">
                  <c:v>0</c:v>
                </c:pt>
                <c:pt idx="1">
                  <c:v>0</c:v>
                </c:pt>
                <c:pt idx="2">
                  <c:v>50</c:v>
                </c:pt>
                <c:pt idx="3">
                  <c:v>874</c:v>
                </c:pt>
                <c:pt idx="4">
                  <c:v>2047</c:v>
                </c:pt>
                <c:pt idx="5">
                  <c:v>4731</c:v>
                </c:pt>
                <c:pt idx="6">
                  <c:v>0</c:v>
                </c:pt>
                <c:pt idx="7">
                  <c:v>0</c:v>
                </c:pt>
              </c:numCache>
            </c:numRef>
          </c:val>
          <c:extLst>
            <c:ext xmlns:c16="http://schemas.microsoft.com/office/drawing/2014/chart" uri="{C3380CC4-5D6E-409C-BE32-E72D297353CC}">
              <c16:uniqueId val="{00000008-D51D-4628-B709-3D29A8D6E83A}"/>
            </c:ext>
          </c:extLst>
        </c:ser>
        <c:ser>
          <c:idx val="1"/>
          <c:order val="1"/>
          <c:tx>
            <c:strRef>
              <c:f>'9.3 Peak Police'!$C$3</c:f>
              <c:strCache>
                <c:ptCount val="1"/>
                <c:pt idx="0">
                  <c:v>UN</c:v>
                </c:pt>
              </c:strCache>
            </c:strRef>
          </c:tx>
          <c:spPr>
            <a:solidFill>
              <a:schemeClr val="bg1">
                <a:lumMod val="75000"/>
              </a:schemeClr>
            </a:solidFill>
            <a:ln>
              <a:solidFill>
                <a:schemeClr val="tx1"/>
              </a:solidFill>
            </a:ln>
            <a:effectLst/>
          </c:spPr>
          <c:invertIfNegative val="0"/>
          <c:dLbls>
            <c:dLbl>
              <c:idx val="8"/>
              <c:layout>
                <c:manualLayout>
                  <c:x val="0"/>
                  <c:y val="-4.13246246790193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51D-4628-B709-3D29A8D6E83A}"/>
                </c:ext>
              </c:extLst>
            </c:dLbl>
            <c:dLbl>
              <c:idx val="9"/>
              <c:layout>
                <c:manualLayout>
                  <c:x val="-1.6421024295040052E-3"/>
                  <c:y val="-0.118751662099506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51D-4628-B709-3D29A8D6E83A}"/>
                </c:ext>
              </c:extLst>
            </c:dLbl>
            <c:dLbl>
              <c:idx val="10"/>
              <c:layout>
                <c:manualLayout>
                  <c:x val="0"/>
                  <c:y val="-3.59979968674416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51D-4628-B709-3D29A8D6E83A}"/>
                </c:ext>
              </c:extLst>
            </c:dLbl>
            <c:dLbl>
              <c:idx val="11"/>
              <c:layout>
                <c:manualLayout>
                  <c:x val="-2.136752136752137E-3"/>
                  <c:y val="-0.243152439094893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51D-4628-B709-3D29A8D6E83A}"/>
                </c:ext>
              </c:extLst>
            </c:dLbl>
            <c:dLbl>
              <c:idx val="12"/>
              <c:layout>
                <c:manualLayout>
                  <c:x val="-1.6421024295040052E-3"/>
                  <c:y val="-8.91995328777735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51D-4628-B709-3D29A8D6E83A}"/>
                </c:ext>
              </c:extLst>
            </c:dLbl>
            <c:dLbl>
              <c:idx val="13"/>
              <c:layout>
                <c:manualLayout>
                  <c:x val="-6.0207295722656225E-17"/>
                  <c:y val="-5.30156734467731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51D-4628-B709-3D29A8D6E83A}"/>
                </c:ext>
              </c:extLst>
            </c:dLbl>
            <c:dLbl>
              <c:idx val="14"/>
              <c:layout>
                <c:manualLayout>
                  <c:x val="-4.2735042735042739E-3"/>
                  <c:y val="-0.126647357406315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51D-4628-B709-3D29A8D6E83A}"/>
                </c:ext>
              </c:extLst>
            </c:dLbl>
            <c:dLbl>
              <c:idx val="16"/>
              <c:layout>
                <c:manualLayout>
                  <c:x val="0"/>
                  <c:y val="-2.712305413785397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51D-4628-B709-3D29A8D6E83A}"/>
                </c:ext>
              </c:extLst>
            </c:dLbl>
            <c:dLbl>
              <c:idx val="18"/>
              <c:layout>
                <c:manualLayout>
                  <c:x val="-1.6421024295040052E-3"/>
                  <c:y val="-0.1267514192884480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51D-4628-B709-3D29A8D6E83A}"/>
                </c:ext>
              </c:extLst>
            </c:dLbl>
            <c:dLbl>
              <c:idx val="19"/>
              <c:layout>
                <c:manualLayout>
                  <c:x val="-7.8346673280123175E-17"/>
                  <c:y val="-0.109410084752621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51D-4628-B709-3D29A8D6E83A}"/>
                </c:ext>
              </c:extLst>
            </c:dLbl>
            <c:dLbl>
              <c:idx val="21"/>
              <c:layout>
                <c:manualLayout>
                  <c:x val="-1.6420361247947469E-3"/>
                  <c:y val="-2.77495658103631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51D-4628-B709-3D29A8D6E83A}"/>
                </c:ext>
              </c:extLst>
            </c:dLbl>
            <c:dLbl>
              <c:idx val="23"/>
              <c:layout>
                <c:manualLayout>
                  <c:x val="-1.5669334656024633E-16"/>
                  <c:y val="-0.149704001757489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51D-4628-B709-3D29A8D6E8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'9.3 Peak Police'!$A$4:$A$32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'9.3 Peak Police'!$C$4:$C$32</c:f>
              <c:numCache>
                <c:formatCode>General</c:formatCode>
                <c:ptCount val="29"/>
                <c:pt idx="8" formatCode="0">
                  <c:v>400</c:v>
                </c:pt>
                <c:pt idx="9" formatCode="0">
                  <c:v>1500</c:v>
                </c:pt>
                <c:pt idx="10" formatCode="0">
                  <c:v>315</c:v>
                </c:pt>
                <c:pt idx="11" formatCode="0">
                  <c:v>3359</c:v>
                </c:pt>
                <c:pt idx="12" formatCode="0">
                  <c:v>1087</c:v>
                </c:pt>
                <c:pt idx="13" formatCode="0">
                  <c:v>457</c:v>
                </c:pt>
                <c:pt idx="14" formatCode="0">
                  <c:v>1626</c:v>
                </c:pt>
                <c:pt idx="16" formatCode="0">
                  <c:v>87</c:v>
                </c:pt>
                <c:pt idx="18" formatCode="0">
                  <c:v>1611</c:v>
                </c:pt>
                <c:pt idx="19" formatCode="0">
                  <c:v>1426</c:v>
                </c:pt>
                <c:pt idx="21" formatCode="0">
                  <c:v>97</c:v>
                </c:pt>
                <c:pt idx="23" formatCode="0">
                  <c:v>2037</c:v>
                </c:pt>
              </c:numCache>
            </c:numRef>
          </c:val>
          <c:extLst>
            <c:ext xmlns:c16="http://schemas.microsoft.com/office/drawing/2014/chart" uri="{C3380CC4-5D6E-409C-BE32-E72D297353CC}">
              <c16:uniqueId val="{00000015-D51D-4628-B709-3D29A8D6E83A}"/>
            </c:ext>
          </c:extLst>
        </c:ser>
        <c:ser>
          <c:idx val="2"/>
          <c:order val="2"/>
          <c:tx>
            <c:strRef>
              <c:f>'9.3 Peak Police'!$D$3</c:f>
              <c:strCache>
                <c:ptCount val="1"/>
                <c:pt idx="0">
                  <c:v>European</c:v>
                </c:pt>
              </c:strCache>
            </c:strRef>
          </c:tx>
          <c:spPr>
            <a:solidFill>
              <a:schemeClr val="tx1"/>
            </a:solidFill>
            <a:ln>
              <a:solidFill>
                <a:schemeClr val="tx1"/>
              </a:solidFill>
            </a:ln>
            <a:effectLst/>
          </c:spPr>
          <c:invertIfNegative val="0"/>
          <c:dLbls>
            <c:dLbl>
              <c:idx val="15"/>
              <c:layout>
                <c:manualLayout>
                  <c:x val="0"/>
                  <c:y val="-4.0595399188091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51D-4628-B709-3D29A8D6E83A}"/>
                </c:ext>
              </c:extLst>
            </c:dLbl>
            <c:dLbl>
              <c:idx val="17"/>
              <c:layout>
                <c:manualLayout>
                  <c:x val="-1.6420361247948673E-3"/>
                  <c:y val="-4.0595399188091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51D-4628-B709-3D29A8D6E83A}"/>
                </c:ext>
              </c:extLst>
            </c:dLbl>
            <c:dLbl>
              <c:idx val="20"/>
              <c:layout>
                <c:manualLayout>
                  <c:x val="3.2840722495894935E-3"/>
                  <c:y val="-7.307171853856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51D-4628-B709-3D29A8D6E8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'9.3 Peak Police'!$A$4:$A$32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'9.3 Peak Police'!$D$4:$D$32</c:f>
              <c:numCache>
                <c:formatCode>General</c:formatCode>
                <c:ptCount val="29"/>
                <c:pt idx="15" formatCode="0">
                  <c:v>241</c:v>
                </c:pt>
                <c:pt idx="17" formatCode="0">
                  <c:v>410</c:v>
                </c:pt>
                <c:pt idx="20" formatCode="0">
                  <c:v>1133</c:v>
                </c:pt>
              </c:numCache>
            </c:numRef>
          </c:val>
          <c:extLst>
            <c:ext xmlns:c16="http://schemas.microsoft.com/office/drawing/2014/chart" uri="{C3380CC4-5D6E-409C-BE32-E72D297353CC}">
              <c16:uniqueId val="{00000019-D51D-4628-B709-3D29A8D6E83A}"/>
            </c:ext>
          </c:extLst>
        </c:ser>
        <c:ser>
          <c:idx val="3"/>
          <c:order val="3"/>
          <c:tx>
            <c:strRef>
              <c:f>'9.3 Peak Police'!$E$3</c:f>
              <c:strCache>
                <c:ptCount val="1"/>
                <c:pt idx="0">
                  <c:v>African</c:v>
                </c:pt>
              </c:strCache>
            </c:strRef>
          </c:tx>
          <c:spPr>
            <a:pattFill prst="wdUpDiag">
              <a:fgClr>
                <a:schemeClr val="tx1"/>
              </a:fgClr>
              <a:bgClr>
                <a:schemeClr val="bg1"/>
              </a:bgClr>
            </a:pattFill>
            <a:ln>
              <a:solidFill>
                <a:schemeClr val="tx1"/>
              </a:solidFill>
            </a:ln>
            <a:effectLst/>
          </c:spPr>
          <c:invertIfNegative val="0"/>
          <c:dLbls>
            <c:dLbl>
              <c:idx val="21"/>
              <c:delete val="1"/>
              <c:extLst>
                <c:ext xmlns:c15="http://schemas.microsoft.com/office/drawing/2012/chart" uri="{CE6537A1-D6FC-4f65-9D91-7224C49458BB}"/>
                <c:ext xmlns:c16="http://schemas.microsoft.com/office/drawing/2014/chart" uri="{C3380CC4-5D6E-409C-BE32-E72D297353CC}">
                  <c16:uniqueId val="{0000001A-D51D-4628-B709-3D29A8D6E83A}"/>
                </c:ext>
              </c:extLst>
            </c:dLbl>
            <c:dLbl>
              <c:idx val="22"/>
              <c:layout>
                <c:manualLayout>
                  <c:x val="-1.6421024295040052E-3"/>
                  <c:y val="-7.9636824031357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51D-4628-B709-3D29A8D6E83A}"/>
                </c:ext>
              </c:extLst>
            </c:dLbl>
            <c:dLbl>
              <c:idx val="24"/>
              <c:layout>
                <c:manualLayout>
                  <c:x val="2.136752136752137E-3"/>
                  <c:y val="-0.101994344360205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51D-4628-B709-3D29A8D6E83A}"/>
                </c:ext>
              </c:extLst>
            </c:dLbl>
            <c:dLbl>
              <c:idx val="26"/>
              <c:layout>
                <c:manualLayout>
                  <c:x val="-1.6420361247948673E-3"/>
                  <c:y val="-2.9769959404600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51D-4628-B709-3D29A8D6E83A}"/>
                </c:ext>
              </c:extLst>
            </c:dLbl>
            <c:dLbl>
              <c:idx val="27"/>
              <c:layout>
                <c:manualLayout>
                  <c:x val="0"/>
                  <c:y val="-5.9727762553909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51D-4628-B709-3D29A8D6E83A}"/>
                </c:ext>
              </c:extLst>
            </c:dLbl>
            <c:dLbl>
              <c:idx val="28"/>
              <c:layout>
                <c:manualLayout>
                  <c:x val="1.6420361247947469E-3"/>
                  <c:y val="-2.5387870239774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51D-4628-B709-3D29A8D6E8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'9.3 Peak Police'!$A$4:$A$32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'9.3 Peak Police'!$E$4:$E$32</c:f>
              <c:numCache>
                <c:formatCode>General</c:formatCode>
                <c:ptCount val="29"/>
                <c:pt idx="21" formatCode="0">
                  <c:v>0</c:v>
                </c:pt>
                <c:pt idx="22" formatCode="0">
                  <c:v>880</c:v>
                </c:pt>
                <c:pt idx="24" formatCode="0">
                  <c:v>1456</c:v>
                </c:pt>
                <c:pt idx="26" formatCode="0">
                  <c:v>15</c:v>
                </c:pt>
                <c:pt idx="27" formatCode="0">
                  <c:v>562</c:v>
                </c:pt>
                <c:pt idx="28" formatCode="0">
                  <c:v>0</c:v>
                </c:pt>
              </c:numCache>
            </c:numRef>
          </c:val>
          <c:extLst>
            <c:ext xmlns:c16="http://schemas.microsoft.com/office/drawing/2014/chart" uri="{C3380CC4-5D6E-409C-BE32-E72D297353CC}">
              <c16:uniqueId val="{00000020-D51D-4628-B709-3D29A8D6E83A}"/>
            </c:ext>
          </c:extLst>
        </c:ser>
        <c:ser>
          <c:idx val="4"/>
          <c:order val="4"/>
          <c:tx>
            <c:strRef>
              <c:f>'9.3 Peak Police'!$F$3</c:f>
              <c:strCache>
                <c:ptCount val="1"/>
                <c:pt idx="0">
                  <c:v>Hybrid (UN/AU)</c:v>
                </c:pt>
              </c:strCache>
            </c:strRef>
          </c:tx>
          <c:spPr>
            <a:pattFill prst="dkHorz">
              <a:fgClr>
                <a:schemeClr val="tx1"/>
              </a:fgClr>
              <a:bgClr>
                <a:schemeClr val="bg1"/>
              </a:bgClr>
            </a:pattFill>
            <a:ln>
              <a:solidFill>
                <a:schemeClr val="tx1"/>
              </a:solidFill>
            </a:ln>
            <a:effectLst/>
          </c:spPr>
          <c:invertIfNegative val="0"/>
          <c:dLbls>
            <c:dLbl>
              <c:idx val="24"/>
              <c:layout>
                <c:manualLayout>
                  <c:x val="-1.6420361247947469E-3"/>
                  <c:y val="-0.265223274695534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51D-4628-B709-3D29A8D6E83A}"/>
                </c:ext>
              </c:extLst>
            </c:dLbl>
            <c:dLbl>
              <c:idx val="25"/>
              <c:layout>
                <c:manualLayout>
                  <c:x val="0"/>
                  <c:y val="-0.320092391701811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51D-4628-B709-3D29A8D6E8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'9.3 Peak Police'!$A$4:$A$32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'9.3 Peak Police'!$F$4:$F$32</c:f>
              <c:numCache>
                <c:formatCode>General</c:formatCode>
                <c:ptCount val="29"/>
                <c:pt idx="25" formatCode="0">
                  <c:v>5228</c:v>
                </c:pt>
              </c:numCache>
            </c:numRef>
          </c:val>
          <c:extLst>
            <c:ext xmlns:c16="http://schemas.microsoft.com/office/drawing/2014/chart" uri="{C3380CC4-5D6E-409C-BE32-E72D297353CC}">
              <c16:uniqueId val="{00000023-D51D-4628-B709-3D29A8D6E83A}"/>
            </c:ext>
          </c:extLst>
        </c:ser>
        <c:dLbls>
          <c:showLegendKey val="0"/>
          <c:showVal val="0"/>
          <c:showCatName val="0"/>
          <c:showSerName val="0"/>
          <c:showPercent val="0"/>
          <c:showBubbleSize val="0"/>
        </c:dLbls>
        <c:gapWidth val="65"/>
        <c:overlap val="100"/>
        <c:axId val="137983104"/>
        <c:axId val="137984640"/>
      </c:barChart>
      <c:catAx>
        <c:axId val="13798310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7984640"/>
        <c:crosses val="autoZero"/>
        <c:auto val="1"/>
        <c:lblAlgn val="ctr"/>
        <c:lblOffset val="100"/>
        <c:noMultiLvlLbl val="0"/>
      </c:catAx>
      <c:valAx>
        <c:axId val="137984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Number of police deployed</a:t>
                </a:r>
              </a:p>
            </c:rich>
          </c:tx>
          <c:layout>
            <c:manualLayout>
              <c:xMode val="edge"/>
              <c:yMode val="edge"/>
              <c:x val="9.8522167487684782E-3"/>
              <c:y val="0.2506153239640716"/>
            </c:manualLayout>
          </c:layout>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7983104"/>
        <c:crosses val="autoZero"/>
        <c:crossBetween val="between"/>
      </c:valAx>
      <c:spPr>
        <a:noFill/>
        <a:ln>
          <a:noFill/>
        </a:ln>
        <a:effectLst/>
      </c:spPr>
    </c:plotArea>
    <c:legend>
      <c:legendPos val="tr"/>
      <c:layout>
        <c:manualLayout>
          <c:xMode val="edge"/>
          <c:yMode val="edge"/>
          <c:x val="0.6522136457080796"/>
          <c:y val="5.4127198917456022E-2"/>
          <c:w val="0.17044645281408796"/>
          <c:h val="0.19046167943486089"/>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60475132916144E-2"/>
          <c:y val="3.5182679296346407E-2"/>
          <c:w val="0.87414092469210602"/>
          <c:h val="0.67926151276544999"/>
        </c:manualLayout>
      </c:layout>
      <c:barChart>
        <c:barDir val="col"/>
        <c:grouping val="stacked"/>
        <c:varyColors val="0"/>
        <c:ser>
          <c:idx val="0"/>
          <c:order val="0"/>
          <c:tx>
            <c:strRef>
              <c:f>'9.4 Peak Police Per Capita'!$B$3</c:f>
              <c:strCache>
                <c:ptCount val="1"/>
                <c:pt idx="0">
                  <c:v>U.S./NATO</c:v>
                </c:pt>
              </c:strCache>
            </c:strRef>
          </c:tx>
          <c:spPr>
            <a:solidFill>
              <a:schemeClr val="bg1">
                <a:lumMod val="95000"/>
              </a:schemeClr>
            </a:solidFill>
            <a:ln>
              <a:solidFill>
                <a:schemeClr val="tx1"/>
              </a:solidFill>
            </a:ln>
            <a:effectLst/>
          </c:spPr>
          <c:invertIfNegative val="0"/>
          <c:dLbls>
            <c:dLbl>
              <c:idx val="0"/>
              <c:layout>
                <c:manualLayout>
                  <c:x val="4.9261083743842391E-3"/>
                  <c:y val="-2.4377483937647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3C-419B-A973-DDBEC9B171E7}"/>
                </c:ext>
              </c:extLst>
            </c:dLbl>
            <c:dLbl>
              <c:idx val="1"/>
              <c:layout>
                <c:manualLayout>
                  <c:x val="0"/>
                  <c:y val="-2.4377483937647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3C-419B-A973-DDBEC9B171E7}"/>
                </c:ext>
              </c:extLst>
            </c:dLbl>
            <c:dLbl>
              <c:idx val="2"/>
              <c:layout>
                <c:manualLayout>
                  <c:x val="-1.5051823930664059E-17"/>
                  <c:y val="-2.48043216519451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3C-419B-A973-DDBEC9B171E7}"/>
                </c:ext>
              </c:extLst>
            </c:dLbl>
            <c:dLbl>
              <c:idx val="3"/>
              <c:layout>
                <c:manualLayout>
                  <c:x val="-1.6420361247947469E-3"/>
                  <c:y val="-3.043269794252715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3C-419B-A973-DDBEC9B171E7}"/>
                </c:ext>
              </c:extLst>
            </c:dLbl>
            <c:dLbl>
              <c:idx val="4"/>
              <c:layout>
                <c:manualLayout>
                  <c:x val="0"/>
                  <c:y val="-6.87570988673778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3C-419B-A973-DDBEC9B171E7}"/>
                </c:ext>
              </c:extLst>
            </c:dLbl>
            <c:dLbl>
              <c:idx val="5"/>
              <c:layout>
                <c:manualLayout>
                  <c:x val="1.6420361247947469E-3"/>
                  <c:y val="-0.2234200291945915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3C-419B-A973-DDBEC9B171E7}"/>
                </c:ext>
              </c:extLst>
            </c:dLbl>
            <c:dLbl>
              <c:idx val="6"/>
              <c:layout>
                <c:manualLayout>
                  <c:x val="4.9261083743842391E-3"/>
                  <c:y val="-2.16711239917744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3C-419B-A973-DDBEC9B171E7}"/>
                </c:ext>
              </c:extLst>
            </c:dLbl>
            <c:dLbl>
              <c:idx val="7"/>
              <c:layout>
                <c:manualLayout>
                  <c:x val="0"/>
                  <c:y val="-2.4377483937647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3C-419B-A973-DDBEC9B171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'9.4 Peak Police Per Capita'!$A$4:$A$32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'9.4 Peak Police Per Capita'!$B$4:$B$32</c:f>
              <c:numCache>
                <c:formatCode>General</c:formatCode>
                <c:ptCount val="29"/>
                <c:pt idx="0">
                  <c:v>0</c:v>
                </c:pt>
                <c:pt idx="1">
                  <c:v>0</c:v>
                </c:pt>
                <c:pt idx="2">
                  <c:v>1.0000000000000004E-2</c:v>
                </c:pt>
                <c:pt idx="3">
                  <c:v>0.12000000000000002</c:v>
                </c:pt>
                <c:pt idx="4">
                  <c:v>0.59</c:v>
                </c:pt>
                <c:pt idx="5">
                  <c:v>2.38</c:v>
                </c:pt>
                <c:pt idx="6">
                  <c:v>0</c:v>
                </c:pt>
                <c:pt idx="7">
                  <c:v>0</c:v>
                </c:pt>
              </c:numCache>
            </c:numRef>
          </c:val>
          <c:extLst>
            <c:ext xmlns:c16="http://schemas.microsoft.com/office/drawing/2014/chart" uri="{C3380CC4-5D6E-409C-BE32-E72D297353CC}">
              <c16:uniqueId val="{00000008-9D3C-419B-A973-DDBEC9B171E7}"/>
            </c:ext>
          </c:extLst>
        </c:ser>
        <c:ser>
          <c:idx val="1"/>
          <c:order val="1"/>
          <c:tx>
            <c:strRef>
              <c:f>'9.4 Peak Police Per Capita'!$C$3</c:f>
              <c:strCache>
                <c:ptCount val="1"/>
                <c:pt idx="0">
                  <c:v>UN</c:v>
                </c:pt>
              </c:strCache>
            </c:strRef>
          </c:tx>
          <c:spPr>
            <a:solidFill>
              <a:schemeClr val="bg1">
                <a:lumMod val="75000"/>
              </a:schemeClr>
            </a:solidFill>
            <a:ln>
              <a:solidFill>
                <a:schemeClr val="tx1"/>
              </a:solidFill>
            </a:ln>
            <a:effectLst/>
          </c:spPr>
          <c:invertIfNegative val="0"/>
          <c:dLbls>
            <c:dLbl>
              <c:idx val="8"/>
              <c:layout>
                <c:manualLayout>
                  <c:x val="-1.6420361247947469E-3"/>
                  <c:y val="-2.77928249496554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3C-419B-A973-DDBEC9B171E7}"/>
                </c:ext>
              </c:extLst>
            </c:dLbl>
            <c:dLbl>
              <c:idx val="9"/>
              <c:layout>
                <c:manualLayout>
                  <c:x val="-6.0207295722656225E-17"/>
                  <c:y val="-0.112963251041522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D3C-419B-A973-DDBEC9B171E7}"/>
                </c:ext>
              </c:extLst>
            </c:dLbl>
            <c:dLbl>
              <c:idx val="10"/>
              <c:layout>
                <c:manualLayout>
                  <c:x val="0"/>
                  <c:y val="-2.51725570839504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D3C-419B-A973-DDBEC9B171E7}"/>
                </c:ext>
              </c:extLst>
            </c:dLbl>
            <c:dLbl>
              <c:idx val="11"/>
              <c:layout>
                <c:manualLayout>
                  <c:x val="0"/>
                  <c:y val="-4.81327181869519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D3C-419B-A973-DDBEC9B171E7}"/>
                </c:ext>
              </c:extLst>
            </c:dLbl>
            <c:dLbl>
              <c:idx val="12"/>
              <c:layout>
                <c:manualLayout>
                  <c:x val="-1.642036124794807E-3"/>
                  <c:y val="-3.02487933257329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D3C-419B-A973-DDBEC9B171E7}"/>
                </c:ext>
              </c:extLst>
            </c:dLbl>
            <c:dLbl>
              <c:idx val="13"/>
              <c:layout>
                <c:manualLayout>
                  <c:x val="4.94649707248133E-4"/>
                  <c:y val="-0.349793605344786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D3C-419B-A973-DDBEC9B171E7}"/>
                </c:ext>
              </c:extLst>
            </c:dLbl>
            <c:dLbl>
              <c:idx val="14"/>
              <c:layout>
                <c:manualLayout>
                  <c:x val="1.6420361247946262E-3"/>
                  <c:y val="-0.1479228154667406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D3C-419B-A973-DDBEC9B171E7}"/>
                </c:ext>
              </c:extLst>
            </c:dLbl>
            <c:dLbl>
              <c:idx val="16"/>
              <c:layout>
                <c:manualLayout>
                  <c:x val="0"/>
                  <c:y val="-2.712305413785397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D3C-419B-A973-DDBEC9B171E7}"/>
                </c:ext>
              </c:extLst>
            </c:dLbl>
            <c:dLbl>
              <c:idx val="18"/>
              <c:layout>
                <c:manualLayout>
                  <c:x val="-1.6420361247948673E-3"/>
                  <c:y val="-3.22423364197202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D3C-419B-A973-DDBEC9B171E7}"/>
                </c:ext>
              </c:extLst>
            </c:dLbl>
            <c:dLbl>
              <c:idx val="19"/>
              <c:layout>
                <c:manualLayout>
                  <c:x val="-7.8346673280123175E-17"/>
                  <c:y val="-1.82412312097352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D3C-419B-A973-DDBEC9B171E7}"/>
                </c:ext>
              </c:extLst>
            </c:dLbl>
            <c:dLbl>
              <c:idx val="21"/>
              <c:layout>
                <c:manualLayout>
                  <c:x val="-1.6420361247947469E-3"/>
                  <c:y val="-2.77495658103631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D3C-419B-A973-DDBEC9B171E7}"/>
                </c:ext>
              </c:extLst>
            </c:dLbl>
            <c:dLbl>
              <c:idx val="23"/>
              <c:layout>
                <c:manualLayout>
                  <c:x val="0"/>
                  <c:y val="-6.35340014316392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D3C-419B-A973-DDBEC9B171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'9.4 Peak Police Per Capita'!$A$4:$A$32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'9.4 Peak Police Per Capita'!$C$4:$C$32</c:f>
              <c:numCache>
                <c:formatCode>General</c:formatCode>
                <c:ptCount val="29"/>
                <c:pt idx="8">
                  <c:v>2.0000000000000007E-2</c:v>
                </c:pt>
                <c:pt idx="9">
                  <c:v>1.07</c:v>
                </c:pt>
                <c:pt idx="10">
                  <c:v>6.0000000000000019E-2</c:v>
                </c:pt>
                <c:pt idx="11" formatCode="0.00">
                  <c:v>0.3000000000000001</c:v>
                </c:pt>
                <c:pt idx="12">
                  <c:v>7.0000000000000021E-2</c:v>
                </c:pt>
                <c:pt idx="13">
                  <c:v>4.3499999999999996</c:v>
                </c:pt>
                <c:pt idx="14">
                  <c:v>1.56</c:v>
                </c:pt>
                <c:pt idx="16">
                  <c:v>2.0000000000000007E-2</c:v>
                </c:pt>
                <c:pt idx="18">
                  <c:v>7.0000000000000021E-2</c:v>
                </c:pt>
                <c:pt idx="19">
                  <c:v>2.0000000000000007E-2</c:v>
                </c:pt>
                <c:pt idx="21">
                  <c:v>1.0000000000000004E-2</c:v>
                </c:pt>
                <c:pt idx="23">
                  <c:v>0.44</c:v>
                </c:pt>
              </c:numCache>
            </c:numRef>
          </c:val>
          <c:extLst>
            <c:ext xmlns:c16="http://schemas.microsoft.com/office/drawing/2014/chart" uri="{C3380CC4-5D6E-409C-BE32-E72D297353CC}">
              <c16:uniqueId val="{00000015-9D3C-419B-A973-DDBEC9B171E7}"/>
            </c:ext>
          </c:extLst>
        </c:ser>
        <c:ser>
          <c:idx val="2"/>
          <c:order val="2"/>
          <c:tx>
            <c:strRef>
              <c:f>'9.4 Peak Police Per Capita'!$D$3</c:f>
              <c:strCache>
                <c:ptCount val="1"/>
                <c:pt idx="0">
                  <c:v>European</c:v>
                </c:pt>
              </c:strCache>
            </c:strRef>
          </c:tx>
          <c:spPr>
            <a:solidFill>
              <a:schemeClr val="tx1"/>
            </a:solidFill>
            <a:ln>
              <a:solidFill>
                <a:schemeClr val="tx1"/>
              </a:solidFill>
            </a:ln>
            <a:effectLst/>
          </c:spPr>
          <c:invertIfNegative val="0"/>
          <c:dLbls>
            <c:dLbl>
              <c:idx val="15"/>
              <c:layout>
                <c:manualLayout>
                  <c:x val="0"/>
                  <c:y val="-2.7063599458728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D3C-419B-A973-DDBEC9B171E7}"/>
                </c:ext>
              </c:extLst>
            </c:dLbl>
            <c:dLbl>
              <c:idx val="17"/>
              <c:layout>
                <c:manualLayout>
                  <c:x val="-1.6420361247948673E-3"/>
                  <c:y val="-4.0595399188091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D3C-419B-A973-DDBEC9B171E7}"/>
                </c:ext>
              </c:extLst>
            </c:dLbl>
            <c:dLbl>
              <c:idx val="20"/>
              <c:layout>
                <c:manualLayout>
                  <c:x val="1.6420361247946262E-3"/>
                  <c:y val="-4.8714479025710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D3C-419B-A973-DDBEC9B171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'9.4 Peak Police Per Capita'!$A$4:$A$32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'9.4 Peak Police Per Capita'!$D$4:$D$32</c:f>
              <c:numCache>
                <c:formatCode>General</c:formatCode>
                <c:ptCount val="29"/>
                <c:pt idx="15">
                  <c:v>8.0000000000000029E-2</c:v>
                </c:pt>
                <c:pt idx="17" formatCode="0.00">
                  <c:v>0.2</c:v>
                </c:pt>
                <c:pt idx="20">
                  <c:v>0.29000000000000009</c:v>
                </c:pt>
              </c:numCache>
            </c:numRef>
          </c:val>
          <c:extLst>
            <c:ext xmlns:c16="http://schemas.microsoft.com/office/drawing/2014/chart" uri="{C3380CC4-5D6E-409C-BE32-E72D297353CC}">
              <c16:uniqueId val="{00000019-9D3C-419B-A973-DDBEC9B171E7}"/>
            </c:ext>
          </c:extLst>
        </c:ser>
        <c:ser>
          <c:idx val="3"/>
          <c:order val="3"/>
          <c:tx>
            <c:strRef>
              <c:f>'9.4 Peak Police Per Capita'!$E$3</c:f>
              <c:strCache>
                <c:ptCount val="1"/>
                <c:pt idx="0">
                  <c:v>African</c:v>
                </c:pt>
              </c:strCache>
            </c:strRef>
          </c:tx>
          <c:spPr>
            <a:pattFill prst="wdUpDiag">
              <a:fgClr>
                <a:schemeClr val="tx1"/>
              </a:fgClr>
              <a:bgClr>
                <a:schemeClr val="bg1"/>
              </a:bgClr>
            </a:pattFill>
            <a:ln>
              <a:solidFill>
                <a:schemeClr val="tx1"/>
              </a:solidFill>
            </a:ln>
            <a:effectLst/>
          </c:spPr>
          <c:invertIfNegative val="0"/>
          <c:dLbls>
            <c:dLbl>
              <c:idx val="21"/>
              <c:delete val="1"/>
              <c:extLst>
                <c:ext xmlns:c15="http://schemas.microsoft.com/office/drawing/2012/chart" uri="{CE6537A1-D6FC-4f65-9D91-7224C49458BB}"/>
                <c:ext xmlns:c16="http://schemas.microsoft.com/office/drawing/2014/chart" uri="{C3380CC4-5D6E-409C-BE32-E72D297353CC}">
                  <c16:uniqueId val="{0000001A-9D3C-419B-A973-DDBEC9B171E7}"/>
                </c:ext>
              </c:extLst>
            </c:dLbl>
            <c:dLbl>
              <c:idx val="22"/>
              <c:layout>
                <c:manualLayout>
                  <c:x val="0"/>
                  <c:y val="-3.5182679296346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D3C-419B-A973-DDBEC9B171E7}"/>
                </c:ext>
              </c:extLst>
            </c:dLbl>
            <c:dLbl>
              <c:idx val="24"/>
              <c:layout>
                <c:manualLayout>
                  <c:x val="2.136752136752137E-3"/>
                  <c:y val="-2.7272727272727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D3C-419B-A973-DDBEC9B171E7}"/>
                </c:ext>
              </c:extLst>
            </c:dLbl>
            <c:dLbl>
              <c:idx val="26"/>
              <c:layout>
                <c:manualLayout>
                  <c:x val="-1.2041459144531252E-16"/>
                  <c:y val="-2.7063599458728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D3C-419B-A973-DDBEC9B171E7}"/>
                </c:ext>
              </c:extLst>
            </c:dLbl>
            <c:dLbl>
              <c:idx val="27"/>
              <c:layout>
                <c:manualLayout>
                  <c:x val="2.136752136752137E-3"/>
                  <c:y val="-2.0679074206633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D3C-419B-A973-DDBEC9B171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'9.4 Peak Police Per Capita'!$A$4:$A$32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'9.4 Peak Police Per Capita'!$E$4:$E$32</c:f>
              <c:numCache>
                <c:formatCode>General</c:formatCode>
                <c:ptCount val="29"/>
                <c:pt idx="21">
                  <c:v>0</c:v>
                </c:pt>
                <c:pt idx="22">
                  <c:v>0.18000000000000005</c:v>
                </c:pt>
                <c:pt idx="24">
                  <c:v>0.23</c:v>
                </c:pt>
                <c:pt idx="26">
                  <c:v>2.0000000000000007E-2</c:v>
                </c:pt>
                <c:pt idx="27">
                  <c:v>4.0000000000000015E-2</c:v>
                </c:pt>
                <c:pt idx="28" formatCode="0">
                  <c:v>0</c:v>
                </c:pt>
              </c:numCache>
            </c:numRef>
          </c:val>
          <c:extLst>
            <c:ext xmlns:c16="http://schemas.microsoft.com/office/drawing/2014/chart" uri="{C3380CC4-5D6E-409C-BE32-E72D297353CC}">
              <c16:uniqueId val="{0000001F-9D3C-419B-A973-DDBEC9B171E7}"/>
            </c:ext>
          </c:extLst>
        </c:ser>
        <c:ser>
          <c:idx val="4"/>
          <c:order val="4"/>
          <c:tx>
            <c:strRef>
              <c:f>'9.4 Peak Police Per Capita'!$F$3</c:f>
              <c:strCache>
                <c:ptCount val="1"/>
                <c:pt idx="0">
                  <c:v>Hybrid (UN/AU)</c:v>
                </c:pt>
              </c:strCache>
            </c:strRef>
          </c:tx>
          <c:spPr>
            <a:pattFill prst="dkHorz">
              <a:fgClr>
                <a:schemeClr val="tx1"/>
              </a:fgClr>
              <a:bgClr>
                <a:schemeClr val="bg1"/>
              </a:bgClr>
            </a:pattFill>
            <a:ln>
              <a:solidFill>
                <a:schemeClr val="tx1"/>
              </a:solidFill>
            </a:ln>
            <a:effectLst/>
          </c:spPr>
          <c:invertIfNegative val="0"/>
          <c:dLbls>
            <c:dLbl>
              <c:idx val="25"/>
              <c:layout>
                <c:manualLayout>
                  <c:x val="-1.2041459144531252E-16"/>
                  <c:y val="-8.3897158322056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D3C-419B-A973-DDBEC9B171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'9.4 Peak Police Per Capita'!$A$4:$A$32</c:f>
              <c:strCache>
                <c:ptCount val="29"/>
                <c:pt idx="0">
                  <c:v>Germany</c:v>
                </c:pt>
                <c:pt idx="1">
                  <c:v>Japan</c:v>
                </c:pt>
                <c:pt idx="2">
                  <c:v>Somalia (I) (1994)</c:v>
                </c:pt>
                <c:pt idx="3">
                  <c:v>Haiti (1996)</c:v>
                </c:pt>
                <c:pt idx="4">
                  <c:v>Bosnia (I) (1997)</c:v>
                </c:pt>
                <c:pt idx="5">
                  <c:v>Kosovo (2002)</c:v>
                </c:pt>
                <c:pt idx="6">
                  <c:v>Afghanistan</c:v>
                </c:pt>
                <c:pt idx="7">
                  <c:v>Iraq</c:v>
                </c:pt>
                <c:pt idx="8">
                  <c:v>Belgian Congo (1965)</c:v>
                </c:pt>
                <c:pt idx="9">
                  <c:v>Namibia (1990)</c:v>
                </c:pt>
                <c:pt idx="10">
                  <c:v>El Salvador (1992)</c:v>
                </c:pt>
                <c:pt idx="11">
                  <c:v>Cambodia (1994)</c:v>
                </c:pt>
                <c:pt idx="12">
                  <c:v>Mozambique (1995)</c:v>
                </c:pt>
                <c:pt idx="13">
                  <c:v>Eastern Slavonia (1998)</c:v>
                </c:pt>
                <c:pt idx="14">
                  <c:v>East Timor (2007)</c:v>
                </c:pt>
                <c:pt idx="15">
                  <c:v>Albania (1997)</c:v>
                </c:pt>
                <c:pt idx="16">
                  <c:v>Sierra Leone (2004)</c:v>
                </c:pt>
                <c:pt idx="17">
                  <c:v>Macedonia (2002)</c:v>
                </c:pt>
                <c:pt idx="18">
                  <c:v>Cote d'Ivoire  (2013)</c:v>
                </c:pt>
                <c:pt idx="19">
                  <c:v>DR Congo (2013)</c:v>
                </c:pt>
                <c:pt idx="20">
                  <c:v>Bosnia (II) (2005)</c:v>
                </c:pt>
                <c:pt idx="21">
                  <c:v>Burundi (2005)</c:v>
                </c:pt>
                <c:pt idx="22">
                  <c:v>CAR (I) (2014)</c:v>
                </c:pt>
                <c:pt idx="23">
                  <c:v>CAR (II) (2016)</c:v>
                </c:pt>
                <c:pt idx="24">
                  <c:v>Darfur (I) (2006)</c:v>
                </c:pt>
                <c:pt idx="25">
                  <c:v>Darfur (II) (2011)</c:v>
                </c:pt>
                <c:pt idx="26">
                  <c:v>Comoros (2008)</c:v>
                </c:pt>
                <c:pt idx="27">
                  <c:v>Somalia (II) (2017)</c:v>
                </c:pt>
                <c:pt idx="28">
                  <c:v>Lake Chad Basin</c:v>
                </c:pt>
              </c:strCache>
            </c:strRef>
          </c:cat>
          <c:val>
            <c:numRef>
              <c:f>'9.4 Peak Police Per Capita'!$F$4:$F$32</c:f>
              <c:numCache>
                <c:formatCode>General</c:formatCode>
                <c:ptCount val="29"/>
                <c:pt idx="25">
                  <c:v>0.68</c:v>
                </c:pt>
              </c:numCache>
            </c:numRef>
          </c:val>
          <c:extLst>
            <c:ext xmlns:c16="http://schemas.microsoft.com/office/drawing/2014/chart" uri="{C3380CC4-5D6E-409C-BE32-E72D297353CC}">
              <c16:uniqueId val="{00000021-9D3C-419B-A973-DDBEC9B171E7}"/>
            </c:ext>
          </c:extLst>
        </c:ser>
        <c:dLbls>
          <c:showLegendKey val="0"/>
          <c:showVal val="0"/>
          <c:showCatName val="0"/>
          <c:showSerName val="0"/>
          <c:showPercent val="0"/>
          <c:showBubbleSize val="0"/>
        </c:dLbls>
        <c:gapWidth val="65"/>
        <c:overlap val="100"/>
        <c:axId val="138196480"/>
        <c:axId val="138198016"/>
      </c:barChart>
      <c:catAx>
        <c:axId val="1381964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8198016"/>
        <c:crosses val="autoZero"/>
        <c:auto val="1"/>
        <c:lblAlgn val="ctr"/>
        <c:lblOffset val="100"/>
        <c:noMultiLvlLbl val="0"/>
      </c:catAx>
      <c:valAx>
        <c:axId val="138198016"/>
        <c:scaling>
          <c:orientation val="minMax"/>
          <c:max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Number of police deployed per 1,000 inhabitants</a:t>
                </a:r>
              </a:p>
            </c:rich>
          </c:tx>
          <c:layout>
            <c:manualLayout>
              <c:xMode val="edge"/>
              <c:yMode val="edge"/>
              <c:x val="1.1472844740561285E-3"/>
              <c:y val="5.7951085659747083E-2"/>
            </c:manualLayout>
          </c:layout>
          <c:overlay val="0"/>
          <c:spPr>
            <a:noFill/>
            <a:ln>
              <a:noFill/>
            </a:ln>
            <a:effectLst/>
          </c:sp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38196480"/>
        <c:crosses val="autoZero"/>
        <c:crossBetween val="between"/>
      </c:valAx>
      <c:spPr>
        <a:noFill/>
        <a:ln>
          <a:noFill/>
        </a:ln>
        <a:effectLst/>
      </c:spPr>
    </c:plotArea>
    <c:legend>
      <c:legendPos val="tr"/>
      <c:layout>
        <c:manualLayout>
          <c:xMode val="edge"/>
          <c:yMode val="edge"/>
          <c:x val="0.76223006606932764"/>
          <c:y val="4.8714479025710439E-2"/>
          <c:w val="0.17044645281408796"/>
          <c:h val="0.19046167943486089"/>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'9.5 Police to Military Ratio'!$B$37</c:f>
              <c:strCache>
                <c:ptCount val="1"/>
                <c:pt idx="0">
                  <c:v>US/NATO</c:v>
                </c:pt>
              </c:strCache>
            </c:strRef>
          </c:tx>
          <c:spPr>
            <a:solidFill>
              <a:schemeClr val="bg1">
                <a:lumMod val="9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'9.5 Police to Military Ratio'!$A$38:$A$64</c:f>
              <c:strCache>
                <c:ptCount val="27"/>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Darfur</c:v>
                </c:pt>
                <c:pt idx="24">
                  <c:v>Comoros</c:v>
                </c:pt>
                <c:pt idx="25">
                  <c:v>Somalia (II)</c:v>
                </c:pt>
                <c:pt idx="26">
                  <c:v>Lake Chad Basin</c:v>
                </c:pt>
              </c:strCache>
            </c:strRef>
          </c:cat>
          <c:val>
            <c:numRef>
              <c:f>'9.5 Police to Military Ratio'!$B$38:$B$64</c:f>
              <c:numCache>
                <c:formatCode>#\,##0_ ;\-#\,##0\ </c:formatCode>
                <c:ptCount val="27"/>
                <c:pt idx="0">
                  <c:v>0</c:v>
                </c:pt>
                <c:pt idx="1">
                  <c:v>0</c:v>
                </c:pt>
                <c:pt idx="2">
                  <c:v>1.1351351351351351</c:v>
                </c:pt>
                <c:pt idx="3">
                  <c:v>41.619047619047592</c:v>
                </c:pt>
                <c:pt idx="4">
                  <c:v>34.116666666666617</c:v>
                </c:pt>
                <c:pt idx="5">
                  <c:v>108.19154774972557</c:v>
                </c:pt>
                <c:pt idx="6">
                  <c:v>0</c:v>
                </c:pt>
                <c:pt idx="7">
                  <c:v>0</c:v>
                </c:pt>
              </c:numCache>
            </c:numRef>
          </c:val>
          <c:extLst>
            <c:ext xmlns:c16="http://schemas.microsoft.com/office/drawing/2014/chart" uri="{C3380CC4-5D6E-409C-BE32-E72D297353CC}">
              <c16:uniqueId val="{00000000-75C9-47D7-8574-0E3D27B31963}"/>
            </c:ext>
          </c:extLst>
        </c:ser>
        <c:ser>
          <c:idx val="1"/>
          <c:order val="1"/>
          <c:tx>
            <c:strRef>
              <c:f>'9.5 Police to Military Ratio'!$C$37</c:f>
              <c:strCache>
                <c:ptCount val="1"/>
                <c:pt idx="0">
                  <c:v>UN</c:v>
                </c:pt>
              </c:strCache>
            </c:strRef>
          </c:tx>
          <c:spPr>
            <a:solidFill>
              <a:schemeClr val="bg1">
                <a:lumMod val="75000"/>
              </a:schemeClr>
            </a:solidFill>
            <a:ln>
              <a:solidFill>
                <a:schemeClr val="tx1"/>
              </a:solidFill>
            </a:ln>
            <a:effectLst/>
          </c:spPr>
          <c:invertIfNegative val="0"/>
          <c:dLbls>
            <c:dLbl>
              <c:idx val="8"/>
              <c:layout>
                <c:manualLayout>
                  <c:x val="0"/>
                  <c:y val="9.53005214717563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C9-47D7-8574-0E3D27B31963}"/>
                </c:ext>
              </c:extLst>
            </c:dLbl>
            <c:dLbl>
              <c:idx val="9"/>
              <c:layout>
                <c:manualLayout>
                  <c:x val="-1.7123287671232882E-3"/>
                  <c:y val="1.17686410570710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C9-47D7-8574-0E3D27B31963}"/>
                </c:ext>
              </c:extLst>
            </c:dLbl>
            <c:dLbl>
              <c:idx val="10"/>
              <c:layout>
                <c:manualLayout>
                  <c:x val="-3.698630136986365E-3"/>
                  <c:y val="1.50977499844181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C9-47D7-8574-0E3D27B31963}"/>
                </c:ext>
              </c:extLst>
            </c:dLbl>
            <c:dLbl>
              <c:idx val="11"/>
              <c:layout>
                <c:manualLayout>
                  <c:x val="1.7123287671232882E-3"/>
                  <c:y val="3.6488479837118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C9-47D7-8574-0E3D27B31963}"/>
                </c:ext>
              </c:extLst>
            </c:dLbl>
            <c:dLbl>
              <c:idx val="12"/>
              <c:layout>
                <c:manualLayout>
                  <c:x val="-1.7123287671232882E-3"/>
                  <c:y val="8.72976959674236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C9-47D7-8574-0E3D27B31963}"/>
                </c:ext>
              </c:extLst>
            </c:dLbl>
            <c:dLbl>
              <c:idx val="13"/>
              <c:layout>
                <c:manualLayout>
                  <c:x val="-1.7123287671232882E-3"/>
                  <c:y val="8.3593376685434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C9-47D7-8574-0E3D27B31963}"/>
                </c:ext>
              </c:extLst>
            </c:dLbl>
            <c:dLbl>
              <c:idx val="14"/>
              <c:layout>
                <c:manualLayout>
                  <c:x val="-3.4246575342466389E-3"/>
                  <c:y val="5.94664782997112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C9-47D7-8574-0E3D27B31963}"/>
                </c:ext>
              </c:extLst>
            </c:dLbl>
            <c:dLbl>
              <c:idx val="18"/>
              <c:layout>
                <c:manualLayout>
                  <c:x val="-1.7123287671234133E-3"/>
                  <c:y val="4.21249454636112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C9-47D7-8574-0E3D27B31963}"/>
                </c:ext>
              </c:extLst>
            </c:dLbl>
            <c:dLbl>
              <c:idx val="19"/>
              <c:layout>
                <c:manualLayout>
                  <c:x val="0"/>
                  <c:y val="1.64606403091434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C9-47D7-8574-0E3D27B31963}"/>
                </c:ext>
              </c:extLst>
            </c:dLbl>
            <c:dLbl>
              <c:idx val="21"/>
              <c:layout>
                <c:manualLayout>
                  <c:x val="0"/>
                  <c:y val="4.43811937755811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C9-47D7-8574-0E3D27B31963}"/>
                </c:ext>
              </c:extLst>
            </c:dLbl>
            <c:dLbl>
              <c:idx val="22"/>
              <c:layout>
                <c:manualLayout>
                  <c:x val="-3.424657534246576E-3"/>
                  <c:y val="2.7353375023372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C9-47D7-8574-0E3D27B319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'9.5 Police to Military Ratio'!$A$38:$A$64</c:f>
              <c:strCache>
                <c:ptCount val="27"/>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Darfur</c:v>
                </c:pt>
                <c:pt idx="24">
                  <c:v>Comoros</c:v>
                </c:pt>
                <c:pt idx="25">
                  <c:v>Somalia (II)</c:v>
                </c:pt>
                <c:pt idx="26">
                  <c:v>Lake Chad Basin</c:v>
                </c:pt>
              </c:strCache>
            </c:strRef>
          </c:cat>
          <c:val>
            <c:numRef>
              <c:f>'9.5 Police to Military Ratio'!$C$38:$C$64</c:f>
              <c:numCache>
                <c:formatCode>General</c:formatCode>
                <c:ptCount val="27"/>
                <c:pt idx="8" formatCode="#\,##0_ ;\-#\,##0\ ">
                  <c:v>20.173492031470641</c:v>
                </c:pt>
                <c:pt idx="9" formatCode="#\,##0_ ;\-#\,##0\ ">
                  <c:v>333.85265969285575</c:v>
                </c:pt>
                <c:pt idx="10" formatCode="#\,##0_ ;\-#\,##0\ ">
                  <c:v>855.97826086956513</c:v>
                </c:pt>
                <c:pt idx="11" formatCode="#\,##0_ ;\-#\,##0\ ">
                  <c:v>210.05565630667249</c:v>
                </c:pt>
                <c:pt idx="12" formatCode="#\,##0_ ;\-#\,##0\ ">
                  <c:v>165.29805352798056</c:v>
                </c:pt>
                <c:pt idx="13" formatCode="#\,##0_ ;\-#\,##0\ ">
                  <c:v>89.53761755485894</c:v>
                </c:pt>
                <c:pt idx="14" formatCode="#\,##0_ ;\-#\,##0\ ">
                  <c:v>193.87146774770483</c:v>
                </c:pt>
                <c:pt idx="16" formatCode="#\,##0_ ;\-#\,##0\ ">
                  <c:v>4.9805358369590076</c:v>
                </c:pt>
                <c:pt idx="18" formatCode="#\,##0_ ;\-#\,##0\ ">
                  <c:v>135.84619276498853</c:v>
                </c:pt>
                <c:pt idx="19" formatCode="#\,##0_ ;\-#\,##0\ ">
                  <c:v>72.877804466704106</c:v>
                </c:pt>
                <c:pt idx="21" formatCode="#\,##0_ ;\-#\,##0\ ">
                  <c:v>17.962962962962951</c:v>
                </c:pt>
                <c:pt idx="22" formatCode="#\,##0_ ;\-#\,##0\ ">
                  <c:v>197.05910805843098</c:v>
                </c:pt>
              </c:numCache>
            </c:numRef>
          </c:val>
          <c:extLst>
            <c:ext xmlns:c16="http://schemas.microsoft.com/office/drawing/2014/chart" uri="{C3380CC4-5D6E-409C-BE32-E72D297353CC}">
              <c16:uniqueId val="{0000000C-75C9-47D7-8574-0E3D27B31963}"/>
            </c:ext>
          </c:extLst>
        </c:ser>
        <c:ser>
          <c:idx val="2"/>
          <c:order val="2"/>
          <c:tx>
            <c:strRef>
              <c:f>'9.5 Police to Military Ratio'!$D$37</c:f>
              <c:strCache>
                <c:ptCount val="1"/>
                <c:pt idx="0">
                  <c:v>European</c:v>
                </c:pt>
              </c:strCache>
            </c:strRef>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'9.5 Police to Military Ratio'!$A$38:$A$64</c:f>
              <c:strCache>
                <c:ptCount val="27"/>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Darfur</c:v>
                </c:pt>
                <c:pt idx="24">
                  <c:v>Comoros</c:v>
                </c:pt>
                <c:pt idx="25">
                  <c:v>Somalia (II)</c:v>
                </c:pt>
                <c:pt idx="26">
                  <c:v>Lake Chad Basin</c:v>
                </c:pt>
              </c:strCache>
            </c:strRef>
          </c:cat>
          <c:val>
            <c:numRef>
              <c:f>'9.5 Police to Military Ratio'!$D$38:$D$64</c:f>
              <c:numCache>
                <c:formatCode>General</c:formatCode>
                <c:ptCount val="27"/>
                <c:pt idx="15" formatCode="#\,##0_ ;\-#\,##0\ ">
                  <c:v>34.310933940774504</c:v>
                </c:pt>
                <c:pt idx="17" formatCode="#\,##0_ ;\-#\,##0\ ">
                  <c:v>85.4166666666667</c:v>
                </c:pt>
                <c:pt idx="20" formatCode="#\,##0_ ;\-#\,##0\ ">
                  <c:v>198.77192982456134</c:v>
                </c:pt>
              </c:numCache>
            </c:numRef>
          </c:val>
          <c:extLst>
            <c:ext xmlns:c16="http://schemas.microsoft.com/office/drawing/2014/chart" uri="{C3380CC4-5D6E-409C-BE32-E72D297353CC}">
              <c16:uniqueId val="{0000000D-75C9-47D7-8574-0E3D27B31963}"/>
            </c:ext>
          </c:extLst>
        </c:ser>
        <c:ser>
          <c:idx val="3"/>
          <c:order val="3"/>
          <c:tx>
            <c:strRef>
              <c:f>'9.5 Police to Military Ratio'!$E$37</c:f>
              <c:strCache>
                <c:ptCount val="1"/>
                <c:pt idx="0">
                  <c:v>African</c:v>
                </c:pt>
              </c:strCache>
            </c:strRef>
          </c:tx>
          <c:spPr>
            <a:pattFill prst="wdUpDiag">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'9.5 Police to Military Ratio'!$A$38:$A$64</c:f>
              <c:strCache>
                <c:ptCount val="27"/>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Darfur</c:v>
                </c:pt>
                <c:pt idx="24">
                  <c:v>Comoros</c:v>
                </c:pt>
                <c:pt idx="25">
                  <c:v>Somalia (II)</c:v>
                </c:pt>
                <c:pt idx="26">
                  <c:v>Lake Chad Basin</c:v>
                </c:pt>
              </c:strCache>
            </c:strRef>
          </c:cat>
          <c:val>
            <c:numRef>
              <c:f>'9.5 Police to Military Ratio'!$E$38:$E$64</c:f>
              <c:numCache>
                <c:formatCode>General</c:formatCode>
                <c:ptCount val="27"/>
                <c:pt idx="24" formatCode="#\,##0_ ;\-#\,##0\ ">
                  <c:v>8.3333333333333357</c:v>
                </c:pt>
                <c:pt idx="25" formatCode="#\,##0_ ;\-#\,##0\ ">
                  <c:v>24.906931395142703</c:v>
                </c:pt>
                <c:pt idx="26" formatCode="#\,##0_ ;\-#\,##0\ ">
                  <c:v>0</c:v>
                </c:pt>
              </c:numCache>
            </c:numRef>
          </c:val>
          <c:extLst>
            <c:ext xmlns:c16="http://schemas.microsoft.com/office/drawing/2014/chart" uri="{C3380CC4-5D6E-409C-BE32-E72D297353CC}">
              <c16:uniqueId val="{0000000E-75C9-47D7-8574-0E3D27B31963}"/>
            </c:ext>
          </c:extLst>
        </c:ser>
        <c:ser>
          <c:idx val="4"/>
          <c:order val="4"/>
          <c:tx>
            <c:strRef>
              <c:f>'9.5 Police to Military Ratio'!$F$37</c:f>
              <c:strCache>
                <c:ptCount val="1"/>
                <c:pt idx="0">
                  <c:v>Hybrid (UN/AU)</c:v>
                </c:pt>
              </c:strCache>
            </c:strRef>
          </c:tx>
          <c:spPr>
            <a:pattFill prst="dkHorz">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'9.5 Police to Military Ratio'!$A$38:$A$64</c:f>
              <c:strCache>
                <c:ptCount val="27"/>
                <c:pt idx="0">
                  <c:v>Germany</c:v>
                </c:pt>
                <c:pt idx="1">
                  <c:v>Japan</c:v>
                </c:pt>
                <c:pt idx="2">
                  <c:v>Somalia (I)</c:v>
                </c:pt>
                <c:pt idx="3">
                  <c:v>Haiti</c:v>
                </c:pt>
                <c:pt idx="4">
                  <c:v>Bosnia (I)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c:v>
                </c:pt>
                <c:pt idx="17">
                  <c:v>Macedonia</c:v>
                </c:pt>
                <c:pt idx="18">
                  <c:v>Cote d'Ivoire</c:v>
                </c:pt>
                <c:pt idx="19">
                  <c:v>DR Congo</c:v>
                </c:pt>
                <c:pt idx="20">
                  <c:v>Bosnia (II)</c:v>
                </c:pt>
                <c:pt idx="21">
                  <c:v>Burundi</c:v>
                </c:pt>
                <c:pt idx="22">
                  <c:v>CAR</c:v>
                </c:pt>
                <c:pt idx="23">
                  <c:v>Darfur</c:v>
                </c:pt>
                <c:pt idx="24">
                  <c:v>Comoros</c:v>
                </c:pt>
                <c:pt idx="25">
                  <c:v>Somalia (II)</c:v>
                </c:pt>
                <c:pt idx="26">
                  <c:v>Lake Chad Basin</c:v>
                </c:pt>
              </c:strCache>
            </c:strRef>
          </c:cat>
          <c:val>
            <c:numRef>
              <c:f>'9.5 Police to Military Ratio'!$F$38:$F$64</c:f>
              <c:numCache>
                <c:formatCode>General</c:formatCode>
                <c:ptCount val="27"/>
                <c:pt idx="23" formatCode="#\,##0_ ;\-#\,##0\ ">
                  <c:v>294.07132410844866</c:v>
                </c:pt>
              </c:numCache>
            </c:numRef>
          </c:val>
          <c:extLst>
            <c:ext xmlns:c16="http://schemas.microsoft.com/office/drawing/2014/chart" uri="{C3380CC4-5D6E-409C-BE32-E72D297353CC}">
              <c16:uniqueId val="{0000000F-75C9-47D7-8574-0E3D27B31963}"/>
            </c:ext>
          </c:extLst>
        </c:ser>
        <c:dLbls>
          <c:showLegendKey val="0"/>
          <c:showVal val="0"/>
          <c:showCatName val="0"/>
          <c:showSerName val="0"/>
          <c:showPercent val="0"/>
          <c:showBubbleSize val="0"/>
        </c:dLbls>
        <c:gapWidth val="65"/>
        <c:overlap val="100"/>
        <c:axId val="141691520"/>
        <c:axId val="141709696"/>
      </c:barChart>
      <c:catAx>
        <c:axId val="141691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41709696"/>
        <c:crosses val="autoZero"/>
        <c:auto val="1"/>
        <c:lblAlgn val="ctr"/>
        <c:lblOffset val="100"/>
        <c:noMultiLvlLbl val="0"/>
      </c:catAx>
      <c:valAx>
        <c:axId val="141709696"/>
        <c:scaling>
          <c:orientation val="minMax"/>
          <c:max val="350"/>
        </c:scaling>
        <c:delete val="0"/>
        <c:axPos val="l"/>
        <c:majorGridlines>
          <c:spPr>
            <a:ln w="9525" cap="flat" cmpd="sng" algn="ctr">
              <a:solidFill>
                <a:schemeClr val="tx1">
                  <a:lumMod val="15000"/>
                  <a:lumOff val="85000"/>
                </a:schemeClr>
              </a:solidFill>
              <a:round/>
            </a:ln>
            <a:effectLst/>
          </c:spPr>
        </c:majorGridlines>
        <c:numFmt formatCode="#\,##0_ ;\-#\,##0\ "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41691520"/>
        <c:crosses val="autoZero"/>
        <c:crossBetween val="between"/>
      </c:valAx>
      <c:spPr>
        <a:noFill/>
        <a:ln>
          <a:noFill/>
        </a:ln>
        <a:effectLst/>
      </c:spPr>
    </c:plotArea>
    <c:legend>
      <c:legendPos val="tr"/>
      <c:layout>
        <c:manualLayout>
          <c:xMode val="edge"/>
          <c:yMode val="edge"/>
          <c:x val="9.3037833027720798E-2"/>
          <c:y val="5.0746265555855666E-2"/>
          <c:w val="0.20200779511779474"/>
          <c:h val="0.19813609119755562"/>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'9.6 Duration'!$B$3</c:f>
              <c:strCache>
                <c:ptCount val="1"/>
                <c:pt idx="0">
                  <c:v>U.S./NATO</c:v>
                </c:pt>
              </c:strCache>
            </c:strRef>
          </c:tx>
          <c:spPr>
            <a:solidFill>
              <a:schemeClr val="bg1">
                <a:lumMod val="95000"/>
              </a:schemeClr>
            </a:solidFill>
            <a:ln>
              <a:solidFill>
                <a:schemeClr val="tx1"/>
              </a:solidFill>
            </a:ln>
            <a:effectLst/>
          </c:spPr>
          <c:invertIfNegative val="0"/>
          <c:cat>
            <c:strRef>
              <c:f>'9.6 Duration'!$A$4:$A$33</c:f>
              <c:strCache>
                <c:ptCount val="30"/>
                <c:pt idx="0">
                  <c:v>Germany</c:v>
                </c:pt>
                <c:pt idx="1">
                  <c:v>Japan</c:v>
                </c:pt>
                <c:pt idx="2">
                  <c:v>Somalia (I)</c:v>
                </c:pt>
                <c:pt idx="3">
                  <c:v>Haiti</c:v>
                </c:pt>
                <c:pt idx="4">
                  <c:v>Bosnia (I, II)*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 (I)</c:v>
                </c:pt>
                <c:pt idx="17">
                  <c:v>Sierra Leone (II)</c:v>
                </c:pt>
                <c:pt idx="18">
                  <c:v>Macedonia</c:v>
                </c:pt>
                <c:pt idx="19">
                  <c:v>Cote d'Ivoire (I)</c:v>
                </c:pt>
                <c:pt idx="20">
                  <c:v>Cote d'Ivoire (II)</c:v>
                </c:pt>
                <c:pt idx="21">
                  <c:v>DR Congo (I)</c:v>
                </c:pt>
                <c:pt idx="22">
                  <c:v>DR Congo (II)*</c:v>
                </c:pt>
                <c:pt idx="23">
                  <c:v>Burundi</c:v>
                </c:pt>
                <c:pt idx="24">
                  <c:v>CAR (I)</c:v>
                </c:pt>
                <c:pt idx="25">
                  <c:v>CAR (II)*</c:v>
                </c:pt>
                <c:pt idx="26">
                  <c:v>Darfur*</c:v>
                </c:pt>
                <c:pt idx="27">
                  <c:v>Comoros</c:v>
                </c:pt>
                <c:pt idx="28">
                  <c:v>Somalia (II)*</c:v>
                </c:pt>
                <c:pt idx="29">
                  <c:v>Lake Chad Basin*</c:v>
                </c:pt>
              </c:strCache>
            </c:strRef>
          </c:cat>
          <c:val>
            <c:numRef>
              <c:f>'9.6 Duration'!$B$4:$B$33</c:f>
              <c:numCache>
                <c:formatCode>0</c:formatCode>
                <c:ptCount val="30"/>
                <c:pt idx="0">
                  <c:v>10</c:v>
                </c:pt>
                <c:pt idx="1">
                  <c:v>7</c:v>
                </c:pt>
                <c:pt idx="2">
                  <c:v>3</c:v>
                </c:pt>
                <c:pt idx="3">
                  <c:v>2</c:v>
                </c:pt>
                <c:pt idx="4">
                  <c:v>9</c:v>
                </c:pt>
                <c:pt idx="5">
                  <c:v>19</c:v>
                </c:pt>
                <c:pt idx="6">
                  <c:v>17</c:v>
                </c:pt>
                <c:pt idx="7">
                  <c:v>9</c:v>
                </c:pt>
              </c:numCache>
            </c:numRef>
          </c:val>
          <c:extLst>
            <c:ext xmlns:c16="http://schemas.microsoft.com/office/drawing/2014/chart" uri="{C3380CC4-5D6E-409C-BE32-E72D297353CC}">
              <c16:uniqueId val="{00000000-9132-47DE-860D-EEF2A2AB843F}"/>
            </c:ext>
          </c:extLst>
        </c:ser>
        <c:ser>
          <c:idx val="1"/>
          <c:order val="1"/>
          <c:tx>
            <c:strRef>
              <c:f>'9.6 Duration'!$C$3</c:f>
              <c:strCache>
                <c:ptCount val="1"/>
                <c:pt idx="0">
                  <c:v>UN</c:v>
                </c:pt>
              </c:strCache>
            </c:strRef>
          </c:tx>
          <c:spPr>
            <a:solidFill>
              <a:schemeClr val="bg1">
                <a:lumMod val="75000"/>
              </a:schemeClr>
            </a:solidFill>
            <a:ln>
              <a:solidFill>
                <a:schemeClr val="tx1"/>
              </a:solidFill>
            </a:ln>
            <a:effectLst/>
          </c:spPr>
          <c:invertIfNegative val="0"/>
          <c:cat>
            <c:strRef>
              <c:f>'9.6 Duration'!$A$4:$A$33</c:f>
              <c:strCache>
                <c:ptCount val="30"/>
                <c:pt idx="0">
                  <c:v>Germany</c:v>
                </c:pt>
                <c:pt idx="1">
                  <c:v>Japan</c:v>
                </c:pt>
                <c:pt idx="2">
                  <c:v>Somalia (I)</c:v>
                </c:pt>
                <c:pt idx="3">
                  <c:v>Haiti</c:v>
                </c:pt>
                <c:pt idx="4">
                  <c:v>Bosnia (I, II)*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 (I)</c:v>
                </c:pt>
                <c:pt idx="17">
                  <c:v>Sierra Leone (II)</c:v>
                </c:pt>
                <c:pt idx="18">
                  <c:v>Macedonia</c:v>
                </c:pt>
                <c:pt idx="19">
                  <c:v>Cote d'Ivoire (I)</c:v>
                </c:pt>
                <c:pt idx="20">
                  <c:v>Cote d'Ivoire (II)</c:v>
                </c:pt>
                <c:pt idx="21">
                  <c:v>DR Congo (I)</c:v>
                </c:pt>
                <c:pt idx="22">
                  <c:v>DR Congo (II)*</c:v>
                </c:pt>
                <c:pt idx="23">
                  <c:v>Burundi</c:v>
                </c:pt>
                <c:pt idx="24">
                  <c:v>CAR (I)</c:v>
                </c:pt>
                <c:pt idx="25">
                  <c:v>CAR (II)*</c:v>
                </c:pt>
                <c:pt idx="26">
                  <c:v>Darfur*</c:v>
                </c:pt>
                <c:pt idx="27">
                  <c:v>Comoros</c:v>
                </c:pt>
                <c:pt idx="28">
                  <c:v>Somalia (II)*</c:v>
                </c:pt>
                <c:pt idx="29">
                  <c:v>Lake Chad Basin*</c:v>
                </c:pt>
              </c:strCache>
            </c:strRef>
          </c:cat>
          <c:val>
            <c:numRef>
              <c:f>'9.6 Duration'!$C$4:$C$33</c:f>
              <c:numCache>
                <c:formatCode>General</c:formatCode>
                <c:ptCount val="30"/>
                <c:pt idx="8" formatCode="0">
                  <c:v>4</c:v>
                </c:pt>
                <c:pt idx="9" formatCode="0">
                  <c:v>1</c:v>
                </c:pt>
                <c:pt idx="10" formatCode="0">
                  <c:v>4</c:v>
                </c:pt>
                <c:pt idx="11" formatCode="0">
                  <c:v>2</c:v>
                </c:pt>
                <c:pt idx="12" formatCode="0">
                  <c:v>2</c:v>
                </c:pt>
                <c:pt idx="13" formatCode="0">
                  <c:v>2</c:v>
                </c:pt>
                <c:pt idx="14" formatCode="0">
                  <c:v>14</c:v>
                </c:pt>
                <c:pt idx="17" formatCode="0">
                  <c:v>8</c:v>
                </c:pt>
                <c:pt idx="20" formatCode="0">
                  <c:v>14</c:v>
                </c:pt>
                <c:pt idx="22" formatCode="0">
                  <c:v>19</c:v>
                </c:pt>
                <c:pt idx="25" formatCode="0">
                  <c:v>11</c:v>
                </c:pt>
              </c:numCache>
            </c:numRef>
          </c:val>
          <c:extLst>
            <c:ext xmlns:c16="http://schemas.microsoft.com/office/drawing/2014/chart" uri="{C3380CC4-5D6E-409C-BE32-E72D297353CC}">
              <c16:uniqueId val="{00000001-9132-47DE-860D-EEF2A2AB843F}"/>
            </c:ext>
          </c:extLst>
        </c:ser>
        <c:ser>
          <c:idx val="2"/>
          <c:order val="2"/>
          <c:tx>
            <c:strRef>
              <c:f>'9.6 Duration'!$D$3</c:f>
              <c:strCache>
                <c:ptCount val="1"/>
                <c:pt idx="0">
                  <c:v>European</c:v>
                </c:pt>
              </c:strCache>
            </c:strRef>
          </c:tx>
          <c:spPr>
            <a:solidFill>
              <a:schemeClr val="tx1"/>
            </a:solidFill>
            <a:ln>
              <a:solidFill>
                <a:schemeClr val="tx1"/>
              </a:solidFill>
            </a:ln>
            <a:effectLst/>
          </c:spPr>
          <c:invertIfNegative val="0"/>
          <c:cat>
            <c:strRef>
              <c:f>'9.6 Duration'!$A$4:$A$33</c:f>
              <c:strCache>
                <c:ptCount val="30"/>
                <c:pt idx="0">
                  <c:v>Germany</c:v>
                </c:pt>
                <c:pt idx="1">
                  <c:v>Japan</c:v>
                </c:pt>
                <c:pt idx="2">
                  <c:v>Somalia (I)</c:v>
                </c:pt>
                <c:pt idx="3">
                  <c:v>Haiti</c:v>
                </c:pt>
                <c:pt idx="4">
                  <c:v>Bosnia (I, II)*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 (I)</c:v>
                </c:pt>
                <c:pt idx="17">
                  <c:v>Sierra Leone (II)</c:v>
                </c:pt>
                <c:pt idx="18">
                  <c:v>Macedonia</c:v>
                </c:pt>
                <c:pt idx="19">
                  <c:v>Cote d'Ivoire (I)</c:v>
                </c:pt>
                <c:pt idx="20">
                  <c:v>Cote d'Ivoire (II)</c:v>
                </c:pt>
                <c:pt idx="21">
                  <c:v>DR Congo (I)</c:v>
                </c:pt>
                <c:pt idx="22">
                  <c:v>DR Congo (II)*</c:v>
                </c:pt>
                <c:pt idx="23">
                  <c:v>Burundi</c:v>
                </c:pt>
                <c:pt idx="24">
                  <c:v>CAR (I)</c:v>
                </c:pt>
                <c:pt idx="25">
                  <c:v>CAR (II)*</c:v>
                </c:pt>
                <c:pt idx="26">
                  <c:v>Darfur*</c:v>
                </c:pt>
                <c:pt idx="27">
                  <c:v>Comoros</c:v>
                </c:pt>
                <c:pt idx="28">
                  <c:v>Somalia (II)*</c:v>
                </c:pt>
                <c:pt idx="29">
                  <c:v>Lake Chad Basin*</c:v>
                </c:pt>
              </c:strCache>
            </c:strRef>
          </c:cat>
          <c:val>
            <c:numRef>
              <c:f>'9.6 Duration'!$D$4:$D$33</c:f>
              <c:numCache>
                <c:formatCode>General</c:formatCode>
                <c:ptCount val="30"/>
                <c:pt idx="4" formatCode="0">
                  <c:v>14</c:v>
                </c:pt>
                <c:pt idx="15" formatCode="0">
                  <c:v>1</c:v>
                </c:pt>
                <c:pt idx="16" formatCode="0">
                  <c:v>1</c:v>
                </c:pt>
                <c:pt idx="18" formatCode="0">
                  <c:v>5</c:v>
                </c:pt>
                <c:pt idx="19" formatCode="0">
                  <c:v>13</c:v>
                </c:pt>
                <c:pt idx="21" formatCode="0">
                  <c:v>1</c:v>
                </c:pt>
              </c:numCache>
            </c:numRef>
          </c:val>
          <c:extLst>
            <c:ext xmlns:c16="http://schemas.microsoft.com/office/drawing/2014/chart" uri="{C3380CC4-5D6E-409C-BE32-E72D297353CC}">
              <c16:uniqueId val="{00000002-9132-47DE-860D-EEF2A2AB843F}"/>
            </c:ext>
          </c:extLst>
        </c:ser>
        <c:ser>
          <c:idx val="3"/>
          <c:order val="3"/>
          <c:tx>
            <c:strRef>
              <c:f>'9.6 Duration'!$E$3</c:f>
              <c:strCache>
                <c:ptCount val="1"/>
                <c:pt idx="0">
                  <c:v>African</c:v>
                </c:pt>
              </c:strCache>
            </c:strRef>
          </c:tx>
          <c:spPr>
            <a:pattFill prst="wdUpDiag">
              <a:fgClr>
                <a:schemeClr val="tx1"/>
              </a:fgClr>
              <a:bgClr>
                <a:schemeClr val="bg1"/>
              </a:bgClr>
            </a:pattFill>
            <a:ln>
              <a:solidFill>
                <a:schemeClr val="tx1"/>
              </a:solidFill>
            </a:ln>
            <a:effectLst/>
          </c:spPr>
          <c:invertIfNegative val="0"/>
          <c:cat>
            <c:strRef>
              <c:f>'9.6 Duration'!$A$4:$A$33</c:f>
              <c:strCache>
                <c:ptCount val="30"/>
                <c:pt idx="0">
                  <c:v>Germany</c:v>
                </c:pt>
                <c:pt idx="1">
                  <c:v>Japan</c:v>
                </c:pt>
                <c:pt idx="2">
                  <c:v>Somalia (I)</c:v>
                </c:pt>
                <c:pt idx="3">
                  <c:v>Haiti</c:v>
                </c:pt>
                <c:pt idx="4">
                  <c:v>Bosnia (I, II)*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 (I)</c:v>
                </c:pt>
                <c:pt idx="17">
                  <c:v>Sierra Leone (II)</c:v>
                </c:pt>
                <c:pt idx="18">
                  <c:v>Macedonia</c:v>
                </c:pt>
                <c:pt idx="19">
                  <c:v>Cote d'Ivoire (I)</c:v>
                </c:pt>
                <c:pt idx="20">
                  <c:v>Cote d'Ivoire (II)</c:v>
                </c:pt>
                <c:pt idx="21">
                  <c:v>DR Congo (I)</c:v>
                </c:pt>
                <c:pt idx="22">
                  <c:v>DR Congo (II)*</c:v>
                </c:pt>
                <c:pt idx="23">
                  <c:v>Burundi</c:v>
                </c:pt>
                <c:pt idx="24">
                  <c:v>CAR (I)</c:v>
                </c:pt>
                <c:pt idx="25">
                  <c:v>CAR (II)*</c:v>
                </c:pt>
                <c:pt idx="26">
                  <c:v>Darfur*</c:v>
                </c:pt>
                <c:pt idx="27">
                  <c:v>Comoros</c:v>
                </c:pt>
                <c:pt idx="28">
                  <c:v>Somalia (II)*</c:v>
                </c:pt>
                <c:pt idx="29">
                  <c:v>Lake Chad Basin*</c:v>
                </c:pt>
              </c:strCache>
            </c:strRef>
          </c:cat>
          <c:val>
            <c:numRef>
              <c:f>'9.6 Duration'!$E$4:$E$33</c:f>
              <c:numCache>
                <c:formatCode>General</c:formatCode>
                <c:ptCount val="30"/>
                <c:pt idx="23" formatCode="0">
                  <c:v>3</c:v>
                </c:pt>
                <c:pt idx="24" formatCode="0">
                  <c:v>13</c:v>
                </c:pt>
                <c:pt idx="26" formatCode="0">
                  <c:v>4</c:v>
                </c:pt>
                <c:pt idx="27" formatCode="0">
                  <c:v>3</c:v>
                </c:pt>
                <c:pt idx="28" formatCode="0">
                  <c:v>12</c:v>
                </c:pt>
                <c:pt idx="29" formatCode="0">
                  <c:v>4</c:v>
                </c:pt>
              </c:numCache>
            </c:numRef>
          </c:val>
          <c:extLst>
            <c:ext xmlns:c16="http://schemas.microsoft.com/office/drawing/2014/chart" uri="{C3380CC4-5D6E-409C-BE32-E72D297353CC}">
              <c16:uniqueId val="{00000003-9132-47DE-860D-EEF2A2AB843F}"/>
            </c:ext>
          </c:extLst>
        </c:ser>
        <c:ser>
          <c:idx val="4"/>
          <c:order val="4"/>
          <c:tx>
            <c:strRef>
              <c:f>'9.6 Duration'!$F$3</c:f>
              <c:strCache>
                <c:ptCount val="1"/>
                <c:pt idx="0">
                  <c:v>Hybrid (UN/AU)</c:v>
                </c:pt>
              </c:strCache>
            </c:strRef>
          </c:tx>
          <c:spPr>
            <a:pattFill prst="dkHorz">
              <a:fgClr>
                <a:schemeClr val="tx1"/>
              </a:fgClr>
              <a:bgClr>
                <a:schemeClr val="bg1"/>
              </a:bgClr>
            </a:pattFill>
            <a:ln>
              <a:solidFill>
                <a:schemeClr val="tx1"/>
              </a:solidFill>
            </a:ln>
            <a:effectLst/>
          </c:spPr>
          <c:invertIfNegative val="0"/>
          <c:cat>
            <c:strRef>
              <c:f>'9.6 Duration'!$A$4:$A$33</c:f>
              <c:strCache>
                <c:ptCount val="30"/>
                <c:pt idx="0">
                  <c:v>Germany</c:v>
                </c:pt>
                <c:pt idx="1">
                  <c:v>Japan</c:v>
                </c:pt>
                <c:pt idx="2">
                  <c:v>Somalia (I)</c:v>
                </c:pt>
                <c:pt idx="3">
                  <c:v>Haiti</c:v>
                </c:pt>
                <c:pt idx="4">
                  <c:v>Bosnia (I, II)*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 (I)</c:v>
                </c:pt>
                <c:pt idx="17">
                  <c:v>Sierra Leone (II)</c:v>
                </c:pt>
                <c:pt idx="18">
                  <c:v>Macedonia</c:v>
                </c:pt>
                <c:pt idx="19">
                  <c:v>Cote d'Ivoire (I)</c:v>
                </c:pt>
                <c:pt idx="20">
                  <c:v>Cote d'Ivoire (II)</c:v>
                </c:pt>
                <c:pt idx="21">
                  <c:v>DR Congo (I)</c:v>
                </c:pt>
                <c:pt idx="22">
                  <c:v>DR Congo (II)*</c:v>
                </c:pt>
                <c:pt idx="23">
                  <c:v>Burundi</c:v>
                </c:pt>
                <c:pt idx="24">
                  <c:v>CAR (I)</c:v>
                </c:pt>
                <c:pt idx="25">
                  <c:v>CAR (II)*</c:v>
                </c:pt>
                <c:pt idx="26">
                  <c:v>Darfur*</c:v>
                </c:pt>
                <c:pt idx="27">
                  <c:v>Comoros</c:v>
                </c:pt>
                <c:pt idx="28">
                  <c:v>Somalia (II)*</c:v>
                </c:pt>
                <c:pt idx="29">
                  <c:v>Lake Chad Basin*</c:v>
                </c:pt>
              </c:strCache>
            </c:strRef>
          </c:cat>
          <c:val>
            <c:numRef>
              <c:f>'9.6 Duration'!$F$4:$F$33</c:f>
              <c:numCache>
                <c:formatCode>General</c:formatCode>
                <c:ptCount val="30"/>
                <c:pt idx="26" formatCode="0">
                  <c:v>11</c:v>
                </c:pt>
              </c:numCache>
            </c:numRef>
          </c:val>
          <c:extLst>
            <c:ext xmlns:c16="http://schemas.microsoft.com/office/drawing/2014/chart" uri="{C3380CC4-5D6E-409C-BE32-E72D297353CC}">
              <c16:uniqueId val="{00000004-9132-47DE-860D-EEF2A2AB843F}"/>
            </c:ext>
          </c:extLst>
        </c:ser>
        <c:ser>
          <c:idx val="5"/>
          <c:order val="5"/>
          <c:tx>
            <c:strRef>
              <c:f>'9.6 Duration'!$G$3</c:f>
              <c:strCache>
                <c:ptCount val="1"/>
                <c:pt idx="0">
                  <c:v>UN2</c:v>
                </c:pt>
              </c:strCache>
            </c:strRef>
          </c:tx>
          <c:spPr>
            <a:solidFill>
              <a:schemeClr val="accent6"/>
            </a:solidFill>
            <a:ln>
              <a:noFill/>
            </a:ln>
            <a:effectLst/>
          </c:spPr>
          <c:invertIfNegative val="0"/>
          <c:dPt>
            <c:idx val="23"/>
            <c:invertIfNegative val="0"/>
            <c:bubble3D val="0"/>
            <c:spPr>
              <a:solidFill>
                <a:schemeClr val="bg1">
                  <a:lumMod val="75000"/>
                </a:schemeClr>
              </a:solidFill>
              <a:ln>
                <a:solidFill>
                  <a:schemeClr val="tx1"/>
                </a:solidFill>
              </a:ln>
              <a:effectLst/>
            </c:spPr>
            <c:extLst>
              <c:ext xmlns:c16="http://schemas.microsoft.com/office/drawing/2014/chart" uri="{C3380CC4-5D6E-409C-BE32-E72D297353CC}">
                <c16:uniqueId val="{00000006-9132-47DE-860D-EEF2A2AB843F}"/>
              </c:ext>
            </c:extLst>
          </c:dPt>
          <c:cat>
            <c:strRef>
              <c:f>'9.6 Duration'!$A$4:$A$33</c:f>
              <c:strCache>
                <c:ptCount val="30"/>
                <c:pt idx="0">
                  <c:v>Germany</c:v>
                </c:pt>
                <c:pt idx="1">
                  <c:v>Japan</c:v>
                </c:pt>
                <c:pt idx="2">
                  <c:v>Somalia (I)</c:v>
                </c:pt>
                <c:pt idx="3">
                  <c:v>Haiti</c:v>
                </c:pt>
                <c:pt idx="4">
                  <c:v>Bosnia (I, II)*</c:v>
                </c:pt>
                <c:pt idx="5">
                  <c:v>Kosovo*</c:v>
                </c:pt>
                <c:pt idx="6">
                  <c:v>Afghanistan*</c:v>
                </c:pt>
                <c:pt idx="7">
                  <c:v>Iraq</c:v>
                </c:pt>
                <c:pt idx="8">
                  <c:v>Belgian Congo</c:v>
                </c:pt>
                <c:pt idx="9">
                  <c:v>Namibia</c:v>
                </c:pt>
                <c:pt idx="10">
                  <c:v>El Salvador</c:v>
                </c:pt>
                <c:pt idx="11">
                  <c:v>Cambodia</c:v>
                </c:pt>
                <c:pt idx="12">
                  <c:v>Mozambique</c:v>
                </c:pt>
                <c:pt idx="13">
                  <c:v>Eastern Slavonia</c:v>
                </c:pt>
                <c:pt idx="14">
                  <c:v>East Timor</c:v>
                </c:pt>
                <c:pt idx="15">
                  <c:v>Albania</c:v>
                </c:pt>
                <c:pt idx="16">
                  <c:v>Sierra Leone (I)</c:v>
                </c:pt>
                <c:pt idx="17">
                  <c:v>Sierra Leone (II)</c:v>
                </c:pt>
                <c:pt idx="18">
                  <c:v>Macedonia</c:v>
                </c:pt>
                <c:pt idx="19">
                  <c:v>Cote d'Ivoire (I)</c:v>
                </c:pt>
                <c:pt idx="20">
                  <c:v>Cote d'Ivoire (II)</c:v>
                </c:pt>
                <c:pt idx="21">
                  <c:v>DR Congo (I)</c:v>
                </c:pt>
                <c:pt idx="22">
                  <c:v>DR Congo (II)*</c:v>
                </c:pt>
                <c:pt idx="23">
                  <c:v>Burundi</c:v>
                </c:pt>
                <c:pt idx="24">
                  <c:v>CAR (I)</c:v>
                </c:pt>
                <c:pt idx="25">
                  <c:v>CAR (II)*</c:v>
                </c:pt>
                <c:pt idx="26">
                  <c:v>Darfur*</c:v>
                </c:pt>
                <c:pt idx="27">
                  <c:v>Comoros</c:v>
                </c:pt>
                <c:pt idx="28">
                  <c:v>Somalia (II)*</c:v>
                </c:pt>
                <c:pt idx="29">
                  <c:v>Lake Chad Basin*</c:v>
                </c:pt>
              </c:strCache>
            </c:strRef>
          </c:cat>
          <c:val>
            <c:numRef>
              <c:f>'9.6 Duration'!$G$4:$G$33</c:f>
              <c:numCache>
                <c:formatCode>General</c:formatCode>
                <c:ptCount val="30"/>
                <c:pt idx="23" formatCode="0">
                  <c:v>3</c:v>
                </c:pt>
              </c:numCache>
            </c:numRef>
          </c:val>
          <c:extLst>
            <c:ext xmlns:c16="http://schemas.microsoft.com/office/drawing/2014/chart" uri="{C3380CC4-5D6E-409C-BE32-E72D297353CC}">
              <c16:uniqueId val="{00000007-9132-47DE-860D-EEF2A2AB843F}"/>
            </c:ext>
          </c:extLst>
        </c:ser>
        <c:dLbls>
          <c:showLegendKey val="0"/>
          <c:showVal val="0"/>
          <c:showCatName val="0"/>
          <c:showSerName val="0"/>
          <c:showPercent val="0"/>
          <c:showBubbleSize val="0"/>
        </c:dLbls>
        <c:gapWidth val="65"/>
        <c:overlap val="100"/>
        <c:axId val="141969280"/>
        <c:axId val="141970816"/>
      </c:barChart>
      <c:catAx>
        <c:axId val="1419692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41970816"/>
        <c:crosses val="autoZero"/>
        <c:auto val="1"/>
        <c:lblAlgn val="ctr"/>
        <c:lblOffset val="100"/>
        <c:noMultiLvlLbl val="0"/>
      </c:catAx>
      <c:valAx>
        <c:axId val="141970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Duration (years)</a:t>
                </a:r>
              </a:p>
            </c:rich>
          </c:tx>
          <c:layout>
            <c:manualLayout>
              <c:xMode val="edge"/>
              <c:yMode val="edge"/>
              <c:x val="5.5607043558850789E-3"/>
              <c:y val="0.30988195357265946"/>
            </c:manualLayout>
          </c:layout>
          <c:overlay val="0"/>
          <c:spPr>
            <a:noFill/>
            <a:ln>
              <a:noFill/>
            </a:ln>
            <a:effectLst/>
          </c:sp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41969280"/>
        <c:crosses val="autoZero"/>
        <c:crossBetween val="between"/>
      </c:valAx>
      <c:spPr>
        <a:noFill/>
        <a:ln>
          <a:noFill/>
        </a:ln>
        <a:effectLst/>
      </c:spPr>
    </c:plotArea>
    <c:legend>
      <c:legendPos val="tr"/>
      <c:legendEntry>
        <c:idx val="0"/>
        <c:delete val="1"/>
      </c:legendEntry>
      <c:layout>
        <c:manualLayout>
          <c:xMode val="edge"/>
          <c:yMode val="edge"/>
          <c:x val="0.79647471776871281"/>
          <c:y val="4.8622336304878187E-2"/>
          <c:w val="0.17010530310217253"/>
          <c:h val="0.1802513672575069"/>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Month dd, yyyy Replace with your date</vt:lpstr>
    </vt:vector>
  </TitlesOfParts>
  <Company>RAND</Company>
  <LinksUpToDate>false</LinksUpToDate>
  <CharactersWithSpaces>13237</CharactersWithSpaces>
  <SharedDoc>false</SharedDoc>
  <HLinks>
    <vt:vector size="12" baseType="variant">
      <vt:variant>
        <vt:i4>65656</vt:i4>
      </vt:variant>
      <vt:variant>
        <vt:i4>-1</vt:i4>
      </vt:variant>
      <vt:variant>
        <vt:i4>2052</vt:i4>
      </vt:variant>
      <vt:variant>
        <vt:i4>1</vt:i4>
      </vt:variant>
      <vt:variant>
        <vt:lpwstr>corpRGB</vt:lpwstr>
      </vt:variant>
      <vt:variant>
        <vt:lpwstr/>
      </vt:variant>
      <vt:variant>
        <vt:i4>65656</vt:i4>
      </vt:variant>
      <vt:variant>
        <vt:i4>-1</vt:i4>
      </vt:variant>
      <vt:variant>
        <vt:i4>2062</vt:i4>
      </vt:variant>
      <vt:variant>
        <vt:i4>1</vt:i4>
      </vt:variant>
      <vt:variant>
        <vt:lpwstr>corpRGB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dd, yyyy Replace with your date</dc:title>
  <dc:creator>Sandy Petitjean</dc:creator>
  <cp:lastModifiedBy>Conference Co-ordinator</cp:lastModifiedBy>
  <cp:revision>2</cp:revision>
  <cp:lastPrinted>2010-07-27T22:02:00Z</cp:lastPrinted>
  <dcterms:created xsi:type="dcterms:W3CDTF">2020-04-09T08:15:00Z</dcterms:created>
  <dcterms:modified xsi:type="dcterms:W3CDTF">2020-04-09T08:15:00Z</dcterms:modified>
</cp:coreProperties>
</file>